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14:paraId="37E65D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69BF69BA">
            <w:pPr>
              <w:pStyle w:val="18"/>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6F47FDF4">
            <w:pPr>
              <w:pStyle w:val="18"/>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91.190</w:t>
            </w:r>
            <w:r>
              <w:rPr>
                <w:rFonts w:ascii="黑体" w:hAnsi="黑体" w:eastAsia="黑体"/>
                <w:sz w:val="21"/>
                <w:szCs w:val="21"/>
              </w:rPr>
              <w:fldChar w:fldCharType="end"/>
            </w:r>
            <w:bookmarkEnd w:id="0"/>
          </w:p>
        </w:tc>
      </w:tr>
      <w:tr w14:paraId="16DAE8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1B98D65D">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27"/>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12E5B9A9">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113" w:type="dxa"/>
                </w:tblCellMar>
              </w:tblPrEx>
              <w:trPr>
                <w:trHeight w:val="1021" w:hRule="exact"/>
              </w:trPr>
              <w:tc>
                <w:tcPr>
                  <w:tcW w:w="9242" w:type="dxa"/>
                  <w:vAlign w:val="center"/>
                </w:tcPr>
                <w:p w14:paraId="516460E3">
                  <w:pPr>
                    <w:pStyle w:val="49"/>
                    <w:framePr w:wrap="notBeside" w:vAnchor="page" w:hAnchor="page" w:x="1372" w:y="568"/>
                    <w:ind w:left="420" w:right="624"/>
                    <w:rPr>
                      <w:rFonts w:ascii="宋体" w:hAnsi="宋体"/>
                      <w:sz w:val="28"/>
                      <w:szCs w:val="28"/>
                    </w:rPr>
                  </w:pPr>
                  <w: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t>CNHA</w:t>
                  </w:r>
                  <w:r>
                    <w:fldChar w:fldCharType="end"/>
                  </w:r>
                  <w:bookmarkEnd w:id="1"/>
                </w:p>
              </w:tc>
            </w:tr>
          </w:tbl>
          <w:p w14:paraId="12105007">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2"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Y71</w:t>
            </w:r>
            <w:r>
              <w:rPr>
                <w:rFonts w:ascii="黑体" w:hAnsi="黑体" w:eastAsia="黑体"/>
                <w:sz w:val="21"/>
                <w:szCs w:val="21"/>
              </w:rPr>
              <w:fldChar w:fldCharType="end"/>
            </w:r>
            <w:bookmarkEnd w:id="2"/>
          </w:p>
        </w:tc>
      </w:tr>
    </w:tbl>
    <w:p w14:paraId="6725768D">
      <w:pPr>
        <w:pStyle w:val="50"/>
        <w:framePr w:w="9639" w:h="624" w:hRule="exact" w:hSpace="181" w:vSpace="181" w:wrap="around" w:hAnchor="page" w:x="1305" w:y="2269"/>
        <w:rPr>
          <w:rFonts w:ascii="黑体" w:hAnsi="黑体" w:eastAsia="黑体"/>
          <w:b w:val="0"/>
          <w:bCs w:val="0"/>
          <w:w w:val="100"/>
          <w:sz w:val="48"/>
          <w:szCs w:val="48"/>
        </w:rPr>
      </w:pPr>
      <w:bookmarkStart w:id="3" w:name="_Hlk26473981"/>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中国五金制品协会</w:t>
      </w:r>
      <w:r>
        <w:rPr>
          <w:rFonts w:ascii="黑体" w:eastAsia="黑体"/>
          <w:b w:val="0"/>
          <w:w w:val="100"/>
          <w:sz w:val="48"/>
        </w:rPr>
        <w:fldChar w:fldCharType="end"/>
      </w:r>
      <w:bookmarkEnd w:id="4"/>
      <w:r>
        <w:rPr>
          <w:rFonts w:hint="eastAsia" w:ascii="黑体" w:eastAsia="黑体"/>
          <w:b w:val="0"/>
          <w:w w:val="100"/>
          <w:sz w:val="48"/>
        </w:rPr>
        <w:t>团体</w:t>
      </w:r>
      <w:r>
        <w:rPr>
          <w:rFonts w:hint="eastAsia" w:ascii="黑体" w:hAnsi="黑体" w:eastAsia="黑体"/>
          <w:b w:val="0"/>
          <w:bCs w:val="0"/>
          <w:w w:val="100"/>
          <w:sz w:val="48"/>
          <w:szCs w:val="48"/>
        </w:rPr>
        <w:t>标准</w:t>
      </w:r>
    </w:p>
    <w:bookmarkEnd w:id="3"/>
    <w:p w14:paraId="2341E580">
      <w:pPr>
        <w:pStyle w:val="195"/>
        <w:framePr/>
        <w:rPr>
          <w:lang w:val="fr-FR"/>
        </w:rPr>
      </w:pPr>
      <w:r>
        <w:rPr>
          <w:lang w:val="fr-FR"/>
        </w:rPr>
        <w:t>T/</w:t>
      </w:r>
      <w:r>
        <w:fldChar w:fldCharType="begin">
          <w:ffData>
            <w:name w:val="文字1"/>
            <w:enabled/>
            <w:calcOnExit w:val="0"/>
            <w:textInput>
              <w:default w:val="XXX"/>
            </w:textInput>
          </w:ffData>
        </w:fldChar>
      </w:r>
      <w:bookmarkStart w:id="5" w:name="文字1"/>
      <w:r>
        <w:rPr>
          <w:lang w:val="fr-FR"/>
        </w:rPr>
        <w:instrText xml:space="preserve"> FORMTEXT </w:instrText>
      </w:r>
      <w:r>
        <w:fldChar w:fldCharType="separate"/>
      </w:r>
      <w:r>
        <w:t>CNHA</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rFonts w:hint="eastAsia"/>
        </w:rPr>
        <w:t>2026</w:t>
      </w:r>
      <w:r>
        <w:fldChar w:fldCharType="end"/>
      </w:r>
      <w:bookmarkEnd w:id="7"/>
    </w:p>
    <w:p w14:paraId="320E3704">
      <w:pPr>
        <w:pStyle w:val="196"/>
        <w:framePr/>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66617449">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43B6FA92">
      <w:pPr>
        <w:pStyle w:val="50"/>
        <w:framePr w:w="9639" w:h="6976" w:hRule="exact" w:hSpace="0" w:vSpace="0" w:wrap="around" w:hAnchor="page" w:y="6408"/>
        <w:jc w:val="center"/>
        <w:rPr>
          <w:rFonts w:ascii="黑体" w:hAnsi="黑体" w:eastAsia="黑体"/>
          <w:b w:val="0"/>
          <w:bCs w:val="0"/>
          <w:w w:val="100"/>
        </w:rPr>
      </w:pPr>
    </w:p>
    <w:p w14:paraId="5DB79C03">
      <w:pPr>
        <w:pStyle w:val="197"/>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家用及类似用途 脚踏开门器</w:t>
      </w:r>
      <w:r>
        <w:fldChar w:fldCharType="end"/>
      </w:r>
      <w:bookmarkEnd w:id="9"/>
    </w:p>
    <w:p w14:paraId="67E90B49">
      <w:pPr>
        <w:framePr w:w="9639" w:h="6974" w:hRule="exact" w:wrap="around" w:vAnchor="page" w:hAnchor="page" w:x="1419" w:y="6408" w:anchorLock="1"/>
        <w:ind w:left="-1418"/>
      </w:pPr>
    </w:p>
    <w:p w14:paraId="7262D472">
      <w:pPr>
        <w:pStyle w:val="125"/>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eastAsia="黑体"/>
          <w:szCs w:val="28"/>
        </w:rPr>
        <w:t>Foot door openers for household and similar uses</w:t>
      </w:r>
      <w:r>
        <w:rPr>
          <w:rFonts w:eastAsia="黑体"/>
          <w:szCs w:val="28"/>
        </w:rPr>
        <w:fldChar w:fldCharType="end"/>
      </w:r>
      <w:bookmarkEnd w:id="10"/>
    </w:p>
    <w:p w14:paraId="547D0CF4">
      <w:pPr>
        <w:framePr w:w="9639" w:h="6974" w:hRule="exact" w:wrap="around" w:vAnchor="page" w:hAnchor="page" w:x="1419" w:y="6408" w:anchorLock="1"/>
        <w:spacing w:line="760" w:lineRule="exact"/>
        <w:ind w:left="-1418"/>
      </w:pPr>
    </w:p>
    <w:p w14:paraId="5C66CA13">
      <w:pPr>
        <w:pStyle w:val="125"/>
        <w:framePr w:w="9639" w:h="6974" w:hRule="exact" w:wrap="around" w:vAnchor="page" w:hAnchor="page" w:x="1419" w:y="6408" w:anchorLock="1"/>
        <w:textAlignment w:val="bottom"/>
        <w:rPr>
          <w:rFonts w:eastAsia="黑体"/>
          <w:szCs w:val="28"/>
        </w:rPr>
      </w:pPr>
    </w:p>
    <w:p w14:paraId="6E632825">
      <w:pPr>
        <w:pStyle w:val="125"/>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14:paraId="6D080D33">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14:paraId="68EF3DCF">
      <w:pPr>
        <w:pStyle w:val="125"/>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14:paraId="3D2317C6">
      <w:pPr>
        <w:pStyle w:val="193"/>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hint="eastAsia" w:ascii="黑体"/>
        </w:rPr>
        <w:t>2026</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14:paraId="0653DE26">
      <w:pPr>
        <w:pStyle w:val="194"/>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hint="eastAsia" w:ascii="黑体"/>
        </w:rPr>
        <w:t>2026</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14:paraId="5A7E1BC3">
      <w:pPr>
        <w:pStyle w:val="151"/>
        <w:framePr w:h="584" w:hRule="exact" w:hSpace="181" w:vSpace="181" w:wrap="around" w:y="14800"/>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int="eastAsia" w:hAnsi="黑体"/>
          <w:w w:val="100"/>
          <w:sz w:val="28"/>
        </w:rPr>
        <w:t>中国五金制品协会</w:t>
      </w:r>
      <w:r>
        <w:rPr>
          <w:rFonts w:hAnsi="黑体"/>
          <w:w w:val="100"/>
          <w:sz w:val="28"/>
        </w:rPr>
        <w:fldChar w:fldCharType="end"/>
      </w:r>
      <w:bookmarkEnd w:id="20"/>
      <w:r>
        <w:rPr>
          <w:rFonts w:ascii="Times New Roman"/>
          <w:w w:val="100"/>
          <w:sz w:val="28"/>
        </w:rPr>
        <w:t>  </w:t>
      </w:r>
      <w:r>
        <w:rPr>
          <w:rStyle w:val="229"/>
          <w:rFonts w:hint="eastAsia" w:hAnsi="黑体"/>
          <w:position w:val="0"/>
        </w:rPr>
        <w:t>发</w:t>
      </w:r>
      <w:r>
        <w:rPr>
          <w:rStyle w:val="229"/>
          <w:rFonts w:hint="eastAsia" w:hAnsi="黑体"/>
          <w:spacing w:val="0"/>
          <w:position w:val="0"/>
        </w:rPr>
        <w:t>布</w:t>
      </w:r>
    </w:p>
    <w:p w14:paraId="32FBFE61">
      <w:pPr>
        <w:rPr>
          <w:rFonts w:ascii="宋体" w:hAnsi="宋体"/>
          <w:sz w:val="28"/>
          <w:szCs w:val="28"/>
        </w:rPr>
        <w:sectPr>
          <w:headerReference r:id="rId6" w:type="first"/>
          <w:footerReference r:id="rId8" w:type="first"/>
          <w:headerReference r:id="rId5" w:type="default"/>
          <w:footerReference r:id="rId7" w:type="even"/>
          <w:type w:val="continuous"/>
          <w:pgSz w:w="11906" w:h="16838"/>
          <w:pgMar w:top="567" w:right="1134" w:bottom="1134" w:left="1134" w:header="1418" w:footer="1134"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085A905B">
      <w:pPr>
        <w:pStyle w:val="91"/>
        <w:spacing w:after="360"/>
      </w:pPr>
      <w:bookmarkStart w:id="21" w:name="BookMark1"/>
      <w:r>
        <w:rPr>
          <w:rFonts w:hint="eastAsia"/>
          <w:spacing w:val="320"/>
        </w:rPr>
        <w:t>目</w:t>
      </w:r>
      <w:r>
        <w:rPr>
          <w:rFonts w:hint="eastAsia"/>
        </w:rPr>
        <w:t>次</w:t>
      </w:r>
    </w:p>
    <w:p w14:paraId="1560A09E">
      <w:pPr>
        <w:pStyle w:val="19"/>
        <w:tabs>
          <w:tab w:val="right" w:leader="dot" w:pos="9344"/>
        </w:tabs>
        <w:rPr>
          <w:rFonts w:asciiTheme="minorHAnsi" w:hAnsiTheme="minorHAnsi" w:eastAsiaTheme="minorEastAsia" w:cstheme="minorBidi"/>
          <w:szCs w:val="22"/>
        </w:rPr>
      </w:pPr>
      <w:r>
        <w:fldChar w:fldCharType="begin"/>
      </w:r>
      <w:r>
        <w:instrText xml:space="preserve"> TOC \o "1-1" \h \t "标准文件_一级条标题,2,标准文件_附录一级条标题,2," </w:instrText>
      </w:r>
      <w:r>
        <w:fldChar w:fldCharType="separate"/>
      </w:r>
      <w:r>
        <w:fldChar w:fldCharType="begin"/>
      </w:r>
      <w:r>
        <w:instrText xml:space="preserve"> HYPERLINK \l "_Toc218850312" </w:instrText>
      </w:r>
      <w:r>
        <w:fldChar w:fldCharType="separate"/>
      </w:r>
      <w:r>
        <w:rPr>
          <w:rStyle w:val="32"/>
          <w:spacing w:val="320"/>
        </w:rPr>
        <w:t>前</w:t>
      </w:r>
      <w:r>
        <w:rPr>
          <w:rStyle w:val="32"/>
        </w:rPr>
        <w:t>言</w:t>
      </w:r>
      <w:r>
        <w:tab/>
      </w:r>
      <w:r>
        <w:fldChar w:fldCharType="begin"/>
      </w:r>
      <w:r>
        <w:instrText xml:space="preserve"> PAGEREF _Toc218850312 \h </w:instrText>
      </w:r>
      <w:r>
        <w:fldChar w:fldCharType="separate"/>
      </w:r>
      <w:r>
        <w:t>II</w:t>
      </w:r>
      <w:r>
        <w:fldChar w:fldCharType="end"/>
      </w:r>
      <w:r>
        <w:fldChar w:fldCharType="end"/>
      </w:r>
    </w:p>
    <w:p w14:paraId="36FE91A9">
      <w:pPr>
        <w:pStyle w:val="19"/>
        <w:tabs>
          <w:tab w:val="right" w:leader="dot" w:pos="9344"/>
        </w:tabs>
        <w:rPr>
          <w:rFonts w:asciiTheme="minorHAnsi" w:hAnsiTheme="minorHAnsi" w:eastAsiaTheme="minorEastAsia" w:cstheme="minorBidi"/>
          <w:szCs w:val="22"/>
        </w:rPr>
      </w:pPr>
      <w:r>
        <w:fldChar w:fldCharType="begin"/>
      </w:r>
      <w:r>
        <w:instrText xml:space="preserve"> HYPERLINK \l "_Toc218850313" </w:instrText>
      </w:r>
      <w:r>
        <w:fldChar w:fldCharType="separate"/>
      </w:r>
      <w:r>
        <w:rPr>
          <w:rStyle w:val="32"/>
        </w:rPr>
        <w:t>1 范围</w:t>
      </w:r>
      <w:r>
        <w:tab/>
      </w:r>
      <w:r>
        <w:fldChar w:fldCharType="begin"/>
      </w:r>
      <w:r>
        <w:instrText xml:space="preserve"> PAGEREF _Toc218850313 \h </w:instrText>
      </w:r>
      <w:r>
        <w:fldChar w:fldCharType="separate"/>
      </w:r>
      <w:r>
        <w:t>1</w:t>
      </w:r>
      <w:r>
        <w:fldChar w:fldCharType="end"/>
      </w:r>
      <w:r>
        <w:fldChar w:fldCharType="end"/>
      </w:r>
    </w:p>
    <w:p w14:paraId="5F26C614">
      <w:pPr>
        <w:pStyle w:val="19"/>
        <w:tabs>
          <w:tab w:val="right" w:leader="dot" w:pos="9344"/>
        </w:tabs>
        <w:rPr>
          <w:rFonts w:asciiTheme="minorHAnsi" w:hAnsiTheme="minorHAnsi" w:eastAsiaTheme="minorEastAsia" w:cstheme="minorBidi"/>
          <w:szCs w:val="22"/>
        </w:rPr>
      </w:pPr>
      <w:r>
        <w:fldChar w:fldCharType="begin"/>
      </w:r>
      <w:r>
        <w:instrText xml:space="preserve"> HYPERLINK \l "_Toc218850314" </w:instrText>
      </w:r>
      <w:r>
        <w:fldChar w:fldCharType="separate"/>
      </w:r>
      <w:r>
        <w:rPr>
          <w:rStyle w:val="32"/>
        </w:rPr>
        <w:t>2 规范性引用文件</w:t>
      </w:r>
      <w:r>
        <w:tab/>
      </w:r>
      <w:r>
        <w:fldChar w:fldCharType="begin"/>
      </w:r>
      <w:r>
        <w:instrText xml:space="preserve"> PAGEREF _Toc218850314 \h </w:instrText>
      </w:r>
      <w:r>
        <w:fldChar w:fldCharType="separate"/>
      </w:r>
      <w:r>
        <w:t>1</w:t>
      </w:r>
      <w:r>
        <w:fldChar w:fldCharType="end"/>
      </w:r>
      <w:r>
        <w:fldChar w:fldCharType="end"/>
      </w:r>
    </w:p>
    <w:p w14:paraId="6D89C441">
      <w:pPr>
        <w:pStyle w:val="19"/>
        <w:tabs>
          <w:tab w:val="right" w:leader="dot" w:pos="9344"/>
        </w:tabs>
        <w:rPr>
          <w:rFonts w:asciiTheme="minorHAnsi" w:hAnsiTheme="minorHAnsi" w:eastAsiaTheme="minorEastAsia" w:cstheme="minorBidi"/>
          <w:szCs w:val="22"/>
        </w:rPr>
      </w:pPr>
      <w:r>
        <w:fldChar w:fldCharType="begin"/>
      </w:r>
      <w:r>
        <w:instrText xml:space="preserve"> HYPERLINK \l "_Toc218850315" </w:instrText>
      </w:r>
      <w:r>
        <w:fldChar w:fldCharType="separate"/>
      </w:r>
      <w:r>
        <w:rPr>
          <w:rStyle w:val="32"/>
        </w:rPr>
        <w:t>3 术语和定义</w:t>
      </w:r>
      <w:r>
        <w:tab/>
      </w:r>
      <w:r>
        <w:fldChar w:fldCharType="begin"/>
      </w:r>
      <w:r>
        <w:instrText xml:space="preserve"> PAGEREF _Toc218850315 \h </w:instrText>
      </w:r>
      <w:r>
        <w:fldChar w:fldCharType="separate"/>
      </w:r>
      <w:r>
        <w:t>1</w:t>
      </w:r>
      <w:r>
        <w:fldChar w:fldCharType="end"/>
      </w:r>
      <w:r>
        <w:fldChar w:fldCharType="end"/>
      </w:r>
    </w:p>
    <w:p w14:paraId="593AED65">
      <w:pPr>
        <w:pStyle w:val="19"/>
        <w:tabs>
          <w:tab w:val="right" w:leader="dot" w:pos="9344"/>
        </w:tabs>
        <w:rPr>
          <w:rFonts w:asciiTheme="minorHAnsi" w:hAnsiTheme="minorHAnsi" w:eastAsiaTheme="minorEastAsia" w:cstheme="minorBidi"/>
          <w:szCs w:val="22"/>
        </w:rPr>
      </w:pPr>
      <w:r>
        <w:fldChar w:fldCharType="begin"/>
      </w:r>
      <w:r>
        <w:instrText xml:space="preserve"> HYPERLINK \l "_Toc218850316" </w:instrText>
      </w:r>
      <w:r>
        <w:fldChar w:fldCharType="separate"/>
      </w:r>
      <w:r>
        <w:rPr>
          <w:rStyle w:val="32"/>
          <w:rFonts w:ascii="黑体"/>
        </w:rPr>
        <w:t>4</w:t>
      </w:r>
      <w:r>
        <w:rPr>
          <w:rStyle w:val="32"/>
        </w:rPr>
        <w:t xml:space="preserve"> 技术要求</w:t>
      </w:r>
      <w:r>
        <w:tab/>
      </w:r>
      <w:r>
        <w:fldChar w:fldCharType="begin"/>
      </w:r>
      <w:r>
        <w:instrText xml:space="preserve"> PAGEREF _Toc218850316 \h </w:instrText>
      </w:r>
      <w:r>
        <w:fldChar w:fldCharType="separate"/>
      </w:r>
      <w:r>
        <w:t>2</w:t>
      </w:r>
      <w:r>
        <w:fldChar w:fldCharType="end"/>
      </w:r>
      <w:r>
        <w:fldChar w:fldCharType="end"/>
      </w:r>
    </w:p>
    <w:p w14:paraId="44B2183A">
      <w:pPr>
        <w:pStyle w:val="19"/>
        <w:tabs>
          <w:tab w:val="right" w:leader="dot" w:pos="9344"/>
        </w:tabs>
        <w:rPr>
          <w:rFonts w:asciiTheme="minorHAnsi" w:hAnsiTheme="minorHAnsi" w:eastAsiaTheme="minorEastAsia" w:cstheme="minorBidi"/>
          <w:szCs w:val="22"/>
        </w:rPr>
      </w:pPr>
      <w:r>
        <w:fldChar w:fldCharType="begin"/>
      </w:r>
      <w:r>
        <w:instrText xml:space="preserve"> HYPERLINK \l "_Toc218850317" </w:instrText>
      </w:r>
      <w:r>
        <w:fldChar w:fldCharType="separate"/>
      </w:r>
      <w:r>
        <w:rPr>
          <w:rStyle w:val="32"/>
          <w:rFonts w:ascii="黑体"/>
        </w:rPr>
        <w:t>5</w:t>
      </w:r>
      <w:r>
        <w:rPr>
          <w:rStyle w:val="32"/>
        </w:rPr>
        <w:t xml:space="preserve"> 试验方法</w:t>
      </w:r>
      <w:r>
        <w:tab/>
      </w:r>
      <w:r>
        <w:fldChar w:fldCharType="begin"/>
      </w:r>
      <w:r>
        <w:instrText xml:space="preserve"> PAGEREF _Toc218850317 \h </w:instrText>
      </w:r>
      <w:r>
        <w:fldChar w:fldCharType="separate"/>
      </w:r>
      <w:r>
        <w:t>3</w:t>
      </w:r>
      <w:r>
        <w:fldChar w:fldCharType="end"/>
      </w:r>
      <w:r>
        <w:fldChar w:fldCharType="end"/>
      </w:r>
    </w:p>
    <w:p w14:paraId="7F584F6B">
      <w:pPr>
        <w:pStyle w:val="19"/>
        <w:tabs>
          <w:tab w:val="right" w:leader="dot" w:pos="9344"/>
        </w:tabs>
        <w:rPr>
          <w:rFonts w:asciiTheme="minorHAnsi" w:hAnsiTheme="minorHAnsi" w:eastAsiaTheme="minorEastAsia" w:cstheme="minorBidi"/>
          <w:szCs w:val="22"/>
        </w:rPr>
      </w:pPr>
      <w:r>
        <w:fldChar w:fldCharType="begin"/>
      </w:r>
      <w:r>
        <w:instrText xml:space="preserve"> HYPERLINK \l "_Toc218850318" </w:instrText>
      </w:r>
      <w:r>
        <w:fldChar w:fldCharType="separate"/>
      </w:r>
      <w:r>
        <w:rPr>
          <w:rStyle w:val="32"/>
          <w:rFonts w:ascii="黑体"/>
        </w:rPr>
        <w:t>6</w:t>
      </w:r>
      <w:r>
        <w:rPr>
          <w:rStyle w:val="32"/>
        </w:rPr>
        <w:t xml:space="preserve"> 检</w:t>
      </w:r>
      <w:r>
        <w:rPr>
          <w:rStyle w:val="32"/>
          <w:rFonts w:hint="eastAsia"/>
        </w:rPr>
        <w:t>验</w:t>
      </w:r>
      <w:r>
        <w:rPr>
          <w:rStyle w:val="32"/>
        </w:rPr>
        <w:t>规则</w:t>
      </w:r>
      <w:r>
        <w:tab/>
      </w:r>
      <w:r>
        <w:fldChar w:fldCharType="begin"/>
      </w:r>
      <w:r>
        <w:instrText xml:space="preserve"> PAGEREF _Toc218850318 \h </w:instrText>
      </w:r>
      <w:r>
        <w:fldChar w:fldCharType="separate"/>
      </w:r>
      <w:r>
        <w:t>5</w:t>
      </w:r>
      <w:r>
        <w:fldChar w:fldCharType="end"/>
      </w:r>
      <w:r>
        <w:fldChar w:fldCharType="end"/>
      </w:r>
    </w:p>
    <w:p w14:paraId="79EBC0B7">
      <w:pPr>
        <w:pStyle w:val="19"/>
        <w:tabs>
          <w:tab w:val="right" w:leader="dot" w:pos="9344"/>
        </w:tabs>
        <w:rPr>
          <w:rFonts w:asciiTheme="minorHAnsi" w:hAnsiTheme="minorHAnsi" w:eastAsiaTheme="minorEastAsia" w:cstheme="minorBidi"/>
          <w:szCs w:val="22"/>
        </w:rPr>
      </w:pPr>
      <w:r>
        <w:fldChar w:fldCharType="begin"/>
      </w:r>
      <w:r>
        <w:instrText xml:space="preserve"> HYPERLINK \l "_Toc218850319" </w:instrText>
      </w:r>
      <w:r>
        <w:fldChar w:fldCharType="separate"/>
      </w:r>
      <w:r>
        <w:rPr>
          <w:rStyle w:val="32"/>
          <w:rFonts w:ascii="黑体"/>
        </w:rPr>
        <w:t>7</w:t>
      </w:r>
      <w:r>
        <w:rPr>
          <w:rStyle w:val="32"/>
        </w:rPr>
        <w:t xml:space="preserve"> 包装、运输和贮存</w:t>
      </w:r>
      <w:r>
        <w:tab/>
      </w:r>
      <w:r>
        <w:fldChar w:fldCharType="begin"/>
      </w:r>
      <w:r>
        <w:instrText xml:space="preserve"> PAGEREF _Toc218850319 \h </w:instrText>
      </w:r>
      <w:r>
        <w:fldChar w:fldCharType="separate"/>
      </w:r>
      <w:r>
        <w:t>6</w:t>
      </w:r>
      <w:r>
        <w:fldChar w:fldCharType="end"/>
      </w:r>
      <w:r>
        <w:fldChar w:fldCharType="end"/>
      </w:r>
    </w:p>
    <w:p w14:paraId="644D2EA1">
      <w:pPr>
        <w:pStyle w:val="19"/>
        <w:tabs>
          <w:tab w:val="right" w:leader="dot" w:pos="9344"/>
        </w:tabs>
        <w:rPr>
          <w:rFonts w:asciiTheme="minorHAnsi" w:hAnsiTheme="minorHAnsi" w:eastAsiaTheme="minorEastAsia" w:cstheme="minorBidi"/>
          <w:szCs w:val="22"/>
        </w:rPr>
      </w:pPr>
      <w:r>
        <w:fldChar w:fldCharType="begin"/>
      </w:r>
      <w:r>
        <w:instrText xml:space="preserve"> HYPERLINK \l "_Toc218850320" </w:instrText>
      </w:r>
      <w:r>
        <w:fldChar w:fldCharType="separate"/>
      </w:r>
      <w:r>
        <w:rPr>
          <w:rStyle w:val="32"/>
          <w:spacing w:val="100"/>
        </w:rPr>
        <w:t>附录A</w:t>
      </w:r>
      <w:r>
        <w:rPr>
          <w:rStyle w:val="32"/>
        </w:rPr>
        <w:t xml:space="preserve"> （资料性）</w:t>
      </w:r>
      <w:r>
        <w:tab/>
      </w:r>
      <w:r>
        <w:fldChar w:fldCharType="begin"/>
      </w:r>
      <w:r>
        <w:instrText xml:space="preserve"> PAGEREF _Toc218850320 \h </w:instrText>
      </w:r>
      <w:r>
        <w:fldChar w:fldCharType="separate"/>
      </w:r>
      <w:r>
        <w:t>7</w:t>
      </w:r>
      <w:r>
        <w:fldChar w:fldCharType="end"/>
      </w:r>
      <w:r>
        <w:fldChar w:fldCharType="end"/>
      </w:r>
    </w:p>
    <w:p w14:paraId="0002C3F6">
      <w:pPr>
        <w:pStyle w:val="19"/>
        <w:tabs>
          <w:tab w:val="right" w:leader="dot" w:pos="9344"/>
        </w:tabs>
        <w:rPr>
          <w:rFonts w:asciiTheme="minorHAnsi" w:hAnsiTheme="minorHAnsi" w:eastAsiaTheme="minorEastAsia" w:cstheme="minorBidi"/>
          <w:szCs w:val="22"/>
        </w:rPr>
      </w:pPr>
      <w:r>
        <w:fldChar w:fldCharType="begin"/>
      </w:r>
      <w:r>
        <w:instrText xml:space="preserve"> HYPERLINK \l "_Toc218850321" </w:instrText>
      </w:r>
      <w:r>
        <w:fldChar w:fldCharType="separate"/>
      </w:r>
      <w:r>
        <w:rPr>
          <w:rStyle w:val="32"/>
        </w:rPr>
        <w:t>参考文献</w:t>
      </w:r>
      <w:r>
        <w:tab/>
      </w:r>
      <w:r>
        <w:fldChar w:fldCharType="begin"/>
      </w:r>
      <w:r>
        <w:instrText xml:space="preserve"> PAGEREF _Toc218850321 \h </w:instrText>
      </w:r>
      <w:r>
        <w:fldChar w:fldCharType="separate"/>
      </w:r>
      <w:r>
        <w:t>8</w:t>
      </w:r>
      <w:r>
        <w:fldChar w:fldCharType="end"/>
      </w:r>
      <w:r>
        <w:fldChar w:fldCharType="end"/>
      </w:r>
    </w:p>
    <w:p w14:paraId="0524764F">
      <w:pPr>
        <w:pStyle w:val="91"/>
        <w:spacing w:after="360"/>
        <w:sectPr>
          <w:headerReference r:id="rId9" w:type="default"/>
          <w:footerReference r:id="rId11" w:type="default"/>
          <w:headerReference r:id="rId10" w:type="even"/>
          <w:pgSz w:w="11906" w:h="16838"/>
          <w:pgMar w:top="1928" w:right="1134" w:bottom="1134" w:left="1134" w:header="1418" w:footer="1134" w:gutter="284"/>
          <w:pgNumType w:fmt="upperRoman" w:start="1"/>
          <w:cols w:space="425" w:num="1"/>
          <w:formProt w:val="0"/>
          <w:docGrid w:linePitch="312" w:charSpace="0"/>
        </w:sectPr>
      </w:pPr>
      <w:r>
        <w:fldChar w:fldCharType="end"/>
      </w:r>
    </w:p>
    <w:bookmarkEnd w:id="21"/>
    <w:p w14:paraId="62DB622E">
      <w:pPr>
        <w:pStyle w:val="89"/>
        <w:spacing w:after="360"/>
      </w:pPr>
      <w:bookmarkStart w:id="22" w:name="_Toc170994731"/>
      <w:bookmarkStart w:id="23" w:name="_Toc218850312"/>
      <w:bookmarkStart w:id="24" w:name="BookMark2"/>
      <w:r>
        <w:rPr>
          <w:spacing w:val="320"/>
        </w:rPr>
        <w:t>前</w:t>
      </w:r>
      <w:r>
        <w:t>言</w:t>
      </w:r>
      <w:bookmarkEnd w:id="22"/>
      <w:bookmarkEnd w:id="23"/>
    </w:p>
    <w:p w14:paraId="15527034">
      <w:pPr>
        <w:pStyle w:val="56"/>
        <w:ind w:firstLine="420"/>
      </w:pPr>
      <w:r>
        <w:rPr>
          <w:rFonts w:hint="eastAsia"/>
        </w:rPr>
        <w:t>本文件按照GB/T 1.1—2020《标准化工作导则  第1部分：标准化文件的结构和起草规则》的规定起草。</w:t>
      </w:r>
    </w:p>
    <w:p w14:paraId="16A72E12">
      <w:pPr>
        <w:pStyle w:val="56"/>
        <w:ind w:firstLine="420"/>
      </w:pPr>
      <w:r>
        <w:rPr>
          <w:rFonts w:hint="eastAsia"/>
        </w:rPr>
        <w:t>请注意本文件的某些内容可能涉及专利。本文件的发布机构不承担识别专利的责任。</w:t>
      </w:r>
    </w:p>
    <w:p w14:paraId="269F1E57">
      <w:pPr>
        <w:pStyle w:val="56"/>
        <w:ind w:firstLine="420"/>
      </w:pPr>
      <w:r>
        <w:rPr>
          <w:rFonts w:hint="eastAsia"/>
        </w:rPr>
        <w:t>本文件由中国五金制品协会提出并归口。</w:t>
      </w:r>
    </w:p>
    <w:p w14:paraId="6EA92F62">
      <w:pPr>
        <w:widowControl/>
        <w:adjustRightInd/>
        <w:spacing w:line="240" w:lineRule="auto"/>
        <w:ind w:firstLine="420" w:firstLineChars="200"/>
        <w:jc w:val="left"/>
        <w:rPr>
          <w:highlight w:val="yellow"/>
        </w:rPr>
      </w:pPr>
      <w:r>
        <w:rPr>
          <w:rFonts w:hint="eastAsia"/>
          <w:highlight w:val="yellow"/>
        </w:rPr>
        <w:t>本文件起草单位：</w:t>
      </w:r>
    </w:p>
    <w:p w14:paraId="5C79DE7A">
      <w:pPr>
        <w:widowControl/>
        <w:adjustRightInd/>
        <w:spacing w:line="240" w:lineRule="auto"/>
        <w:ind w:firstLine="420" w:firstLineChars="200"/>
        <w:jc w:val="left"/>
        <w:rPr>
          <w:rFonts w:ascii="宋体" w:hAnsi="宋体" w:cs="宋体"/>
          <w:kern w:val="0"/>
          <w:sz w:val="24"/>
          <w:szCs w:val="24"/>
        </w:rPr>
        <w:sectPr>
          <w:pgSz w:w="11906" w:h="16838"/>
          <w:pgMar w:top="1928" w:right="1134" w:bottom="1134" w:left="1134" w:header="1418" w:footer="1134" w:gutter="284"/>
          <w:pgNumType w:fmt="upperRoman"/>
          <w:cols w:space="425" w:num="1"/>
          <w:formProt w:val="0"/>
          <w:docGrid w:linePitch="312" w:charSpace="0"/>
        </w:sectPr>
      </w:pPr>
      <w:r>
        <w:rPr>
          <w:rFonts w:hint="eastAsia"/>
          <w:highlight w:val="yellow"/>
        </w:rPr>
        <w:t>本文件主要起草人：</w:t>
      </w:r>
    </w:p>
    <w:bookmarkEnd w:id="24"/>
    <w:p w14:paraId="4A58CEAE">
      <w:pPr>
        <w:spacing w:line="20" w:lineRule="exact"/>
        <w:jc w:val="center"/>
        <w:rPr>
          <w:rFonts w:ascii="黑体" w:hAnsi="黑体" w:eastAsia="黑体"/>
          <w:sz w:val="32"/>
          <w:szCs w:val="32"/>
        </w:rPr>
      </w:pPr>
      <w:bookmarkStart w:id="25" w:name="BookMark4"/>
    </w:p>
    <w:p w14:paraId="4BFDB351">
      <w:pPr>
        <w:spacing w:line="20" w:lineRule="exact"/>
        <w:jc w:val="center"/>
        <w:rPr>
          <w:rFonts w:ascii="黑体" w:hAnsi="黑体" w:eastAsia="黑体"/>
          <w:sz w:val="32"/>
          <w:szCs w:val="32"/>
        </w:rPr>
      </w:pPr>
    </w:p>
    <w:sdt>
      <w:sdtPr>
        <w:tag w:val="NEW_STAND_NAME"/>
        <w:id w:val="595910757"/>
        <w:lock w:val="sdtLocked"/>
        <w:placeholder>
          <w:docPart w:val="A691F1A40CD54AB7ADEF65725C014450"/>
        </w:placeholder>
      </w:sdtPr>
      <w:sdtContent>
        <w:p w14:paraId="5ED4F68D">
          <w:pPr>
            <w:pStyle w:val="177"/>
            <w:spacing w:before="2" w:beforeLines="1" w:after="528" w:afterLines="220"/>
          </w:pPr>
          <w:bookmarkStart w:id="26" w:name="NEW_STAND_NAME"/>
          <w:r>
            <w:rPr>
              <w:rFonts w:hint="eastAsia"/>
            </w:rPr>
            <w:t>家用及类似用途 脚踏开门器</w:t>
          </w:r>
        </w:p>
      </w:sdtContent>
    </w:sdt>
    <w:bookmarkEnd w:id="26"/>
    <w:p w14:paraId="2B036E0B">
      <w:pPr>
        <w:pStyle w:val="104"/>
        <w:spacing w:before="240" w:after="240"/>
      </w:pPr>
      <w:bookmarkStart w:id="27" w:name="_Toc26718930"/>
      <w:bookmarkStart w:id="28" w:name="_Toc26648465"/>
      <w:bookmarkStart w:id="29" w:name="_Toc97192964"/>
      <w:bookmarkStart w:id="30" w:name="_Toc26986771"/>
      <w:bookmarkStart w:id="31" w:name="_Toc218850313"/>
      <w:bookmarkStart w:id="32" w:name="_Toc24884211"/>
      <w:bookmarkStart w:id="33" w:name="_Toc170994732"/>
      <w:bookmarkStart w:id="34" w:name="_Toc17233333"/>
      <w:bookmarkStart w:id="35" w:name="_Toc17233325"/>
      <w:bookmarkStart w:id="36" w:name="_Toc26986530"/>
      <w:bookmarkStart w:id="37" w:name="_Toc24884218"/>
      <w:r>
        <w:rPr>
          <w:rFonts w:hint="eastAsia"/>
        </w:rPr>
        <w:t>范围</w:t>
      </w:r>
      <w:bookmarkEnd w:id="27"/>
      <w:bookmarkEnd w:id="28"/>
      <w:bookmarkEnd w:id="29"/>
      <w:bookmarkEnd w:id="30"/>
      <w:bookmarkEnd w:id="31"/>
      <w:bookmarkEnd w:id="32"/>
      <w:bookmarkEnd w:id="33"/>
      <w:bookmarkEnd w:id="34"/>
      <w:bookmarkEnd w:id="35"/>
      <w:bookmarkEnd w:id="36"/>
      <w:bookmarkEnd w:id="37"/>
    </w:p>
    <w:p w14:paraId="3DA16846">
      <w:pPr>
        <w:pStyle w:val="56"/>
        <w:ind w:firstLine="420"/>
      </w:pPr>
      <w:bookmarkStart w:id="38" w:name="_Toc17233326"/>
      <w:bookmarkStart w:id="39" w:name="_Toc17233334"/>
      <w:bookmarkStart w:id="40" w:name="_Toc24884219"/>
      <w:bookmarkStart w:id="41" w:name="_Toc24884212"/>
      <w:bookmarkStart w:id="42" w:name="_Toc26648466"/>
      <w:r>
        <w:rPr>
          <w:rFonts w:hint="eastAsia"/>
        </w:rPr>
        <w:t>本文件规定了家用及类似用途脚踏开门器的术语和定义、技术要求、试验方法、检验规则、包装、运输和贮存要求。</w:t>
      </w:r>
    </w:p>
    <w:p w14:paraId="742A1BD2">
      <w:pPr>
        <w:pStyle w:val="56"/>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本文件适用于家用及类似用途且安装在箱体或</w:t>
      </w:r>
      <w:r>
        <w:rPr>
          <w:rFonts w:hint="eastAsia"/>
          <w:color w:val="000000" w:themeColor="text1"/>
          <w14:textFill>
            <w14:solidFill>
              <w14:schemeClr w14:val="tx1"/>
            </w14:solidFill>
          </w14:textFill>
        </w:rPr>
        <w:t>柜体底部、门体侧面的脚踏开门器，其他使用场景可以参考使用，如工业、商业、家具或其他特殊用途。</w:t>
      </w:r>
    </w:p>
    <w:p w14:paraId="0E7A31B1">
      <w:pPr>
        <w:pStyle w:val="104"/>
        <w:spacing w:before="240" w:after="240"/>
      </w:pPr>
      <w:bookmarkStart w:id="43" w:name="_Toc26986772"/>
      <w:bookmarkStart w:id="44" w:name="_Toc97192965"/>
      <w:bookmarkStart w:id="45" w:name="_Toc170994733"/>
      <w:bookmarkStart w:id="46" w:name="_Toc218850314"/>
      <w:bookmarkStart w:id="47" w:name="_Toc26718931"/>
      <w:bookmarkStart w:id="48" w:name="_Toc26986531"/>
      <w:r>
        <w:rPr>
          <w:rFonts w:hint="eastAsia"/>
        </w:rPr>
        <w:t>规范性引用文件</w:t>
      </w:r>
      <w:bookmarkEnd w:id="38"/>
      <w:bookmarkEnd w:id="39"/>
      <w:bookmarkEnd w:id="40"/>
      <w:bookmarkEnd w:id="41"/>
      <w:bookmarkEnd w:id="42"/>
      <w:bookmarkEnd w:id="43"/>
      <w:bookmarkEnd w:id="44"/>
      <w:bookmarkEnd w:id="45"/>
      <w:bookmarkEnd w:id="46"/>
      <w:bookmarkEnd w:id="47"/>
      <w:bookmarkEnd w:id="48"/>
    </w:p>
    <w:p w14:paraId="00D10415">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5B74044F">
      <w:pPr>
        <w:pStyle w:val="56"/>
        <w:ind w:firstLine="42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GB/T 2100 通用耐蚀钢铸件</w:t>
      </w:r>
    </w:p>
    <w:p w14:paraId="6D96569E">
      <w:pPr>
        <w:pStyle w:val="56"/>
        <w:ind w:firstLine="42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GB/T 2828.1  计数抽样检验程序 第1部分：按接收质量限（AQL）检索的逐批检验抽样计划</w:t>
      </w:r>
    </w:p>
    <w:p w14:paraId="3B85E60F">
      <w:pPr>
        <w:pStyle w:val="56"/>
        <w:ind w:firstLine="42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GB/T 2829  周期检验计数抽样程序及抽样表（适用于生产过程稳定性的检查）</w:t>
      </w:r>
    </w:p>
    <w:p w14:paraId="1AD799CE">
      <w:pPr>
        <w:pStyle w:val="56"/>
        <w:ind w:firstLine="42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GB/T 4955 金属覆盖层  覆盖层厚度测量  阳极溶解库仑法</w:t>
      </w:r>
    </w:p>
    <w:p w14:paraId="5C342AD5">
      <w:pPr>
        <w:pStyle w:val="56"/>
        <w:ind w:firstLine="42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GB/T 5270 金属基体上的金属覆盖层 电沉积和化学沉积层 附着强度试验方法评述</w:t>
      </w:r>
    </w:p>
    <w:p w14:paraId="6206EFB7">
      <w:pPr>
        <w:pStyle w:val="56"/>
        <w:ind w:firstLine="42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GB/T 6461 金属基体上金属和其他无机覆盖层 经腐蚀试验后的试样和试件的评级</w:t>
      </w:r>
    </w:p>
    <w:p w14:paraId="585C13A8">
      <w:pPr>
        <w:pStyle w:val="56"/>
        <w:ind w:firstLine="42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GB/T 10125  人造气氛腐蚀试验 盐雾试验</w:t>
      </w:r>
    </w:p>
    <w:p w14:paraId="5F6AEB8C">
      <w:pPr>
        <w:pStyle w:val="56"/>
        <w:ind w:firstLine="42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GB/T 13821  锌合金压铸件</w:t>
      </w:r>
    </w:p>
    <w:p w14:paraId="23DB39B2">
      <w:pPr>
        <w:pStyle w:val="56"/>
        <w:ind w:firstLine="42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GB/T 15114  铝合金压铸件</w:t>
      </w:r>
    </w:p>
    <w:p w14:paraId="523B2651">
      <w:pPr>
        <w:pStyle w:val="104"/>
        <w:spacing w:before="240" w:after="240"/>
      </w:pPr>
      <w:bookmarkStart w:id="49" w:name="_Toc218850315"/>
      <w:bookmarkStart w:id="50" w:name="_Toc170994734"/>
      <w:bookmarkStart w:id="51" w:name="_Toc97192966"/>
      <w:r>
        <w:rPr>
          <w:rFonts w:hint="eastAsia"/>
          <w:szCs w:val="21"/>
        </w:rPr>
        <w:t>术语和定义</w:t>
      </w:r>
      <w:bookmarkEnd w:id="49"/>
      <w:bookmarkEnd w:id="50"/>
      <w:bookmarkEnd w:id="51"/>
    </w:p>
    <w:p w14:paraId="4239D65B">
      <w:pPr>
        <w:pStyle w:val="56"/>
        <w:ind w:firstLine="420"/>
      </w:pPr>
      <w:bookmarkStart w:id="52" w:name="_Toc26986532"/>
      <w:bookmarkEnd w:id="52"/>
      <w:r>
        <w:rPr>
          <w:rFonts w:hint="eastAsia"/>
        </w:rPr>
        <w:t>下列术语和定义适用于本文件。</w:t>
      </w:r>
    </w:p>
    <w:p w14:paraId="3FE12E3C">
      <w:pPr>
        <w:pStyle w:val="235"/>
        <w:numPr>
          <w:ilvl w:val="2"/>
          <w:numId w:val="2"/>
        </w:numPr>
        <w:tabs>
          <w:tab w:val="clear" w:pos="1646"/>
        </w:tabs>
        <w:spacing w:before="120" w:after="120"/>
        <w:rPr>
          <w:color w:val="000000" w:themeColor="text1"/>
          <w:highlight w:val="none"/>
          <w14:textFill>
            <w14:solidFill>
              <w14:schemeClr w14:val="tx1"/>
            </w14:solidFill>
          </w14:textFill>
        </w:rPr>
      </w:pPr>
      <w:bookmarkStart w:id="53" w:name="_Toc218775643"/>
      <w:r>
        <w:rPr>
          <w:rFonts w:hint="eastAsia"/>
          <w:color w:val="000000" w:themeColor="text1"/>
          <w:highlight w:val="none"/>
          <w14:textFill>
            <w14:solidFill>
              <w14:schemeClr w14:val="tx1"/>
            </w14:solidFill>
          </w14:textFill>
        </w:rPr>
        <w:t xml:space="preserve">传动部件 Transmission components  </w:t>
      </w:r>
      <w:r>
        <w:rPr>
          <w:color w:val="000000" w:themeColor="text1"/>
          <w:highlight w:val="none"/>
          <w14:textFill>
            <w14:solidFill>
              <w14:schemeClr w14:val="tx1"/>
            </w14:solidFill>
          </w14:textFill>
        </w:rPr>
        <w:t xml:space="preserve">    </w:t>
      </w:r>
    </w:p>
    <w:p w14:paraId="382A4E01">
      <w:pPr>
        <w:pStyle w:val="233"/>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用于实现踏板绕轴心转动的功能部件。</w:t>
      </w:r>
    </w:p>
    <w:p w14:paraId="3CB79115">
      <w:pPr>
        <w:pStyle w:val="235"/>
        <w:numPr>
          <w:ilvl w:val="2"/>
          <w:numId w:val="2"/>
        </w:numPr>
        <w:tabs>
          <w:tab w:val="clear" w:pos="1646"/>
        </w:tabs>
        <w:spacing w:before="120" w:after="1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顶门部件 </w:t>
      </w:r>
      <w:r>
        <w:rPr>
          <w:color w:val="000000" w:themeColor="text1"/>
          <w:highlight w:val="none"/>
          <w14:textFill>
            <w14:solidFill>
              <w14:schemeClr w14:val="tx1"/>
            </w14:solidFill>
          </w14:textFill>
        </w:rPr>
        <w:t>Door opening parts</w:t>
      </w:r>
    </w:p>
    <w:p w14:paraId="42565BB8">
      <w:pPr>
        <w:pStyle w:val="233"/>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用于顶开门体的功能部件。</w:t>
      </w:r>
    </w:p>
    <w:p w14:paraId="6945B1EF">
      <w:pPr>
        <w:pStyle w:val="235"/>
        <w:numPr>
          <w:ilvl w:val="2"/>
          <w:numId w:val="2"/>
        </w:numPr>
        <w:tabs>
          <w:tab w:val="clear" w:pos="1646"/>
        </w:tabs>
        <w:spacing w:before="120" w:after="12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脚踏开门器 Foot door opener</w:t>
      </w:r>
      <w:bookmarkEnd w:id="53"/>
    </w:p>
    <w:p w14:paraId="31C81FD3">
      <w:pPr>
        <w:pStyle w:val="233"/>
        <w:rPr>
          <w:color w:val="000000" w:themeColor="text1"/>
          <w14:textFill>
            <w14:solidFill>
              <w14:schemeClr w14:val="tx1"/>
            </w14:solidFill>
          </w14:textFill>
        </w:rPr>
      </w:pPr>
      <w:bookmarkStart w:id="54" w:name="_Hlk218872462"/>
      <w:r>
        <w:rPr>
          <w:rFonts w:hint="eastAsia"/>
          <w:color w:val="000000" w:themeColor="text1"/>
          <w14:textFill>
            <w14:solidFill>
              <w14:schemeClr w14:val="tx1"/>
            </w14:solidFill>
          </w14:textFill>
        </w:rPr>
        <w:t>安装在箱体或柜体底部、门体侧面，通过脚踏方式开门的装置</w:t>
      </w:r>
      <w:bookmarkEnd w:id="54"/>
      <w:r>
        <w:rPr>
          <w:rFonts w:hint="eastAsia"/>
          <w:color w:val="000000" w:themeColor="text1"/>
          <w14:textFill>
            <w14:solidFill>
              <w14:schemeClr w14:val="tx1"/>
            </w14:solidFill>
          </w14:textFill>
        </w:rPr>
        <w:t>，组成部分包括踏板、传动部件、顶门部件、固定座等。</w:t>
      </w:r>
    </w:p>
    <w:p w14:paraId="6579C11C">
      <w:pPr>
        <w:pStyle w:val="233"/>
        <w:rPr>
          <w:color w:val="000000" w:themeColor="text1"/>
          <w14:textFill>
            <w14:solidFill>
              <w14:schemeClr w14:val="tx1"/>
            </w14:solidFill>
          </w14:textFill>
        </w:rPr>
      </w:pPr>
      <w:r>
        <w:rPr>
          <w:rFonts w:hint="eastAsia"/>
          <w:color w:val="000000" w:themeColor="text1"/>
          <w14:textFill>
            <w14:solidFill>
              <w14:schemeClr w14:val="tx1"/>
            </w14:solidFill>
          </w14:textFill>
        </w:rPr>
        <w:t>脚踏开门器安装位置如图1所示，其结构及分解图见附录A。</w:t>
      </w:r>
    </w:p>
    <w:p w14:paraId="0AF238C0">
      <w:pPr>
        <w:pStyle w:val="233"/>
        <w:jc w:val="center"/>
      </w:pPr>
      <w:r>
        <w:drawing>
          <wp:inline distT="0" distB="0" distL="0" distR="0">
            <wp:extent cx="3140710" cy="2205355"/>
            <wp:effectExtent l="0" t="0" r="2540"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5"/>
                    <a:stretch>
                      <a:fillRect/>
                    </a:stretch>
                  </pic:blipFill>
                  <pic:spPr>
                    <a:xfrm>
                      <a:off x="0" y="0"/>
                      <a:ext cx="3189327" cy="2239755"/>
                    </a:xfrm>
                    <a:prstGeom prst="rect">
                      <a:avLst/>
                    </a:prstGeom>
                  </pic:spPr>
                </pic:pic>
              </a:graphicData>
            </a:graphic>
          </wp:inline>
        </w:drawing>
      </w:r>
      <w:r>
        <w:rPr>
          <w:rFonts w:hint="eastAsia"/>
        </w:rPr>
        <w:t xml:space="preserve"> </w:t>
      </w:r>
      <w:r>
        <w:drawing>
          <wp:inline distT="0" distB="0" distL="0" distR="0">
            <wp:extent cx="2090420" cy="2203450"/>
            <wp:effectExtent l="0" t="0" r="508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6"/>
                    <a:stretch>
                      <a:fillRect/>
                    </a:stretch>
                  </pic:blipFill>
                  <pic:spPr>
                    <a:xfrm>
                      <a:off x="0" y="0"/>
                      <a:ext cx="2140478" cy="2255580"/>
                    </a:xfrm>
                    <a:prstGeom prst="rect">
                      <a:avLst/>
                    </a:prstGeom>
                  </pic:spPr>
                </pic:pic>
              </a:graphicData>
            </a:graphic>
          </wp:inline>
        </w:drawing>
      </w:r>
    </w:p>
    <w:p w14:paraId="0977CE9B">
      <w:pPr>
        <w:pStyle w:val="233"/>
        <w:ind w:firstLine="0" w:firstLineChars="0"/>
        <w:jc w:val="center"/>
        <w:rPr>
          <w:rFonts w:ascii="宋体" w:hAnsi="宋体"/>
        </w:rPr>
      </w:pPr>
      <w:r>
        <w:rPr>
          <w:rFonts w:hint="eastAsia" w:ascii="宋体" w:hAnsi="宋体" w:cs="Times New Roman"/>
          <w:sz w:val="20"/>
          <w:szCs w:val="20"/>
        </w:rPr>
        <w:t>图1</w:t>
      </w:r>
      <w:r>
        <w:rPr>
          <w:rFonts w:ascii="宋体" w:hAnsi="宋体" w:cs="Times New Roman"/>
          <w:sz w:val="20"/>
          <w:szCs w:val="20"/>
        </w:rPr>
        <w:t xml:space="preserve"> </w:t>
      </w:r>
      <w:r>
        <w:rPr>
          <w:rFonts w:hint="eastAsia" w:ascii="宋体" w:hAnsi="宋体" w:cs="Times New Roman"/>
          <w:sz w:val="20"/>
          <w:szCs w:val="20"/>
        </w:rPr>
        <w:t>脚踏开门器安装位置示意图</w:t>
      </w:r>
    </w:p>
    <w:p w14:paraId="543DD445">
      <w:pPr>
        <w:pStyle w:val="233"/>
        <w:jc w:val="center"/>
      </w:pPr>
      <w:r>
        <w:rPr>
          <w:rFonts w:hint="eastAsia"/>
        </w:rPr>
        <w:t xml:space="preserve"> </w:t>
      </w:r>
    </w:p>
    <w:p w14:paraId="63052B3D">
      <w:pPr>
        <w:pStyle w:val="231"/>
        <w:numPr>
          <w:ilvl w:val="1"/>
          <w:numId w:val="2"/>
        </w:numPr>
        <w:spacing w:before="240" w:after="240"/>
      </w:pPr>
      <w:bookmarkStart w:id="55" w:name="_Toc942025"/>
      <w:bookmarkEnd w:id="55"/>
      <w:bookmarkStart w:id="56" w:name="_Toc1651888"/>
      <w:bookmarkEnd w:id="56"/>
      <w:bookmarkStart w:id="57" w:name="_Toc942029"/>
      <w:bookmarkEnd w:id="57"/>
      <w:bookmarkStart w:id="58" w:name="_Toc942358"/>
      <w:bookmarkEnd w:id="58"/>
      <w:bookmarkStart w:id="59" w:name="_Toc942354"/>
      <w:bookmarkEnd w:id="59"/>
      <w:bookmarkStart w:id="60" w:name="_Toc1651896"/>
      <w:bookmarkStart w:id="61" w:name="_Toc218850316"/>
      <w:bookmarkStart w:id="62" w:name="_Toc218775644"/>
      <w:r>
        <w:rPr>
          <w:rFonts w:hint="eastAsia"/>
        </w:rPr>
        <w:t>技术要求</w:t>
      </w:r>
      <w:bookmarkEnd w:id="60"/>
      <w:bookmarkEnd w:id="61"/>
      <w:bookmarkEnd w:id="62"/>
    </w:p>
    <w:p w14:paraId="5858AAA3">
      <w:pPr>
        <w:pStyle w:val="235"/>
        <w:numPr>
          <w:ilvl w:val="2"/>
          <w:numId w:val="2"/>
        </w:numPr>
        <w:spacing w:before="120" w:after="120"/>
        <w:rPr>
          <w:rFonts w:cs="Times New Roman"/>
        </w:rPr>
      </w:pPr>
      <w:bookmarkStart w:id="63" w:name="_Toc169859505"/>
      <w:bookmarkStart w:id="64" w:name="_Toc1651899"/>
      <w:bookmarkStart w:id="65" w:name="_Toc218775645"/>
      <w:r>
        <w:rPr>
          <w:rFonts w:hint="eastAsia"/>
        </w:rPr>
        <w:t>通用要求</w:t>
      </w:r>
      <w:bookmarkEnd w:id="63"/>
      <w:bookmarkEnd w:id="64"/>
      <w:bookmarkEnd w:id="65"/>
    </w:p>
    <w:p w14:paraId="5C970322">
      <w:pPr>
        <w:pStyle w:val="238"/>
        <w:numPr>
          <w:ilvl w:val="0"/>
          <w:numId w:val="0"/>
        </w:numPr>
        <w:spacing w:before="120" w:after="120"/>
        <w:ind w:firstLine="420" w:firstLineChars="200"/>
        <w:outlineLvl w:val="9"/>
        <w:rPr>
          <w:color w:val="000000" w:themeColor="text1"/>
          <w14:textFill>
            <w14:solidFill>
              <w14:schemeClr w14:val="tx1"/>
            </w14:solidFill>
          </w14:textFill>
        </w:rPr>
      </w:pPr>
      <w:r>
        <w:rPr>
          <w:rFonts w:hint="eastAsia" w:ascii="宋体" w:hAnsi="宋体" w:eastAsia="宋体"/>
          <w:color w:val="000000"/>
        </w:rPr>
        <w:t>脚踏开门器各部件所使用的</w:t>
      </w:r>
      <w:r>
        <w:rPr>
          <w:rFonts w:hint="eastAsia" w:ascii="宋体" w:hAnsi="宋体" w:eastAsia="宋体"/>
          <w:color w:val="000000" w:themeColor="text1"/>
          <w14:textFill>
            <w14:solidFill>
              <w14:schemeClr w14:val="tx1"/>
            </w14:solidFill>
          </w14:textFill>
        </w:rPr>
        <w:t>材料应符合铝合金、不锈钢、锌合金等材质。</w:t>
      </w:r>
    </w:p>
    <w:p w14:paraId="286019FA">
      <w:pPr>
        <w:pStyle w:val="235"/>
        <w:numPr>
          <w:ilvl w:val="2"/>
          <w:numId w:val="2"/>
        </w:numPr>
        <w:spacing w:before="120" w:after="120"/>
      </w:pPr>
      <w:bookmarkStart w:id="66" w:name="_Toc218775646"/>
      <w:bookmarkStart w:id="67" w:name="_Toc169859506"/>
      <w:r>
        <w:rPr>
          <w:rFonts w:hint="eastAsia"/>
        </w:rPr>
        <w:t>外观要求</w:t>
      </w:r>
      <w:bookmarkEnd w:id="66"/>
      <w:bookmarkEnd w:id="67"/>
    </w:p>
    <w:p w14:paraId="09D15182">
      <w:pPr>
        <w:pStyle w:val="233"/>
      </w:pPr>
      <w:r>
        <w:rPr>
          <w:rFonts w:hint="eastAsia"/>
        </w:rPr>
        <w:t>按照5.2试验后</w:t>
      </w:r>
      <w:r>
        <w:rPr>
          <w:rFonts w:hint="eastAsia"/>
          <w:color w:val="000000" w:themeColor="text1"/>
          <w14:textFill>
            <w14:solidFill>
              <w14:schemeClr w14:val="tx1"/>
            </w14:solidFill>
          </w14:textFill>
        </w:rPr>
        <w:t>，脚踏开门器应整体完好无损，表面光洁，无变形、毛刺、裂纹等外观缺陷，电镀件表面镀层外观均匀，钝化及封闭膜完整，整体色泽一</w:t>
      </w:r>
      <w:r>
        <w:rPr>
          <w:rFonts w:hint="eastAsia"/>
        </w:rPr>
        <w:t>致，无变黑、发红、发黄等局部异色。</w:t>
      </w:r>
    </w:p>
    <w:p w14:paraId="3E3098DB">
      <w:pPr>
        <w:pStyle w:val="235"/>
        <w:numPr>
          <w:ilvl w:val="2"/>
          <w:numId w:val="2"/>
        </w:numPr>
        <w:spacing w:before="120" w:after="120"/>
      </w:pPr>
      <w:r>
        <w:rPr>
          <w:rFonts w:hint="eastAsia"/>
        </w:rPr>
        <w:t>耐腐蚀性</w:t>
      </w:r>
    </w:p>
    <w:p w14:paraId="6964DEFA">
      <w:pPr>
        <w:spacing w:before="156" w:after="156"/>
        <w:ind w:firstLine="420" w:firstLineChars="200"/>
        <w:rPr>
          <w:rFonts w:ascii="宋体" w:hAnsi="宋体"/>
          <w:color w:val="000000" w:themeColor="text1"/>
          <w14:textFill>
            <w14:solidFill>
              <w14:schemeClr w14:val="tx1"/>
            </w14:solidFill>
          </w14:textFill>
        </w:rPr>
      </w:pPr>
      <w:r>
        <w:rPr>
          <w:rFonts w:hint="eastAsia" w:ascii="宋体" w:hAnsi="宋体"/>
        </w:rPr>
        <w:t>按照5.</w:t>
      </w:r>
      <w:r>
        <w:rPr>
          <w:rFonts w:hint="eastAsia" w:ascii="宋体" w:hAnsi="宋体"/>
          <w:color w:val="000000" w:themeColor="text1"/>
          <w:highlight w:val="none"/>
          <w14:textFill>
            <w14:solidFill>
              <w14:schemeClr w14:val="tx1"/>
            </w14:solidFill>
          </w14:textFill>
        </w:rPr>
        <w:t>3试验后, 保护评级应符合6级及以上等级(见表1),其中金属基体覆盖层切边线上下1mm范围内的缺陷面积≤5%，缺陷面积计算符合GB/T 6461</w:t>
      </w:r>
      <w:r>
        <w:rPr>
          <w:rFonts w:hint="eastAsia" w:ascii="宋体" w:hAnsi="宋体"/>
          <w:color w:val="000000" w:themeColor="text1"/>
          <w14:textFill>
            <w14:solidFill>
              <w14:schemeClr w14:val="tx1"/>
            </w14:solidFill>
          </w14:textFill>
        </w:rPr>
        <w:t>。</w:t>
      </w:r>
    </w:p>
    <w:p w14:paraId="5DCAF95B">
      <w:pPr>
        <w:spacing w:before="156" w:after="156"/>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注：缺陷是指试验后的镀层表面出现的锈迹点。</w:t>
      </w:r>
    </w:p>
    <w:p w14:paraId="4ECCFE69">
      <w:pPr>
        <w:pStyle w:val="243"/>
        <w:numPr>
          <w:ilvl w:val="0"/>
          <w:numId w:val="0"/>
        </w:numPr>
        <w:spacing w:before="120" w:after="120"/>
        <w:ind w:left="420" w:hanging="420"/>
        <w:rPr>
          <w:rFonts w:eastAsia="宋体"/>
          <w:bCs/>
        </w:rPr>
      </w:pPr>
      <w:r>
        <w:rPr>
          <w:rFonts w:eastAsia="宋体"/>
          <w:bCs/>
        </w:rPr>
        <w:t>表</w:t>
      </w:r>
      <w:r>
        <w:rPr>
          <w:rFonts w:hint="eastAsia" w:eastAsia="宋体"/>
          <w:bCs/>
        </w:rPr>
        <w:t>1</w:t>
      </w:r>
      <w:r>
        <w:rPr>
          <w:rFonts w:eastAsia="宋体"/>
          <w:bCs/>
        </w:rPr>
        <w:t xml:space="preserve"> 保护</w:t>
      </w:r>
      <w:r>
        <w:rPr>
          <w:rFonts w:hint="eastAsia" w:eastAsia="宋体"/>
          <w:bCs/>
        </w:rPr>
        <w:t>评级</w:t>
      </w:r>
    </w:p>
    <w:tbl>
      <w:tblPr>
        <w:tblStyle w:val="26"/>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344"/>
        <w:gridCol w:w="1909"/>
      </w:tblGrid>
      <w:tr w14:paraId="4C83F6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344" w:type="dxa"/>
          </w:tcPr>
          <w:p w14:paraId="2948E0A1">
            <w:pPr>
              <w:spacing w:line="300" w:lineRule="auto"/>
              <w:jc w:val="center"/>
              <w:rPr>
                <w:b/>
              </w:rPr>
            </w:pPr>
            <w:r>
              <w:rPr>
                <w:b/>
              </w:rPr>
              <w:t>缺陷面积（%）</w:t>
            </w:r>
          </w:p>
        </w:tc>
        <w:tc>
          <w:tcPr>
            <w:tcW w:w="1909" w:type="dxa"/>
          </w:tcPr>
          <w:p w14:paraId="6BDE5C33">
            <w:pPr>
              <w:spacing w:line="300" w:lineRule="auto"/>
              <w:jc w:val="center"/>
              <w:rPr>
                <w:b/>
              </w:rPr>
            </w:pPr>
            <w:r>
              <w:rPr>
                <w:rFonts w:hint="eastAsia"/>
                <w:b/>
              </w:rPr>
              <w:t>保护评级</w:t>
            </w:r>
          </w:p>
        </w:tc>
      </w:tr>
      <w:tr w14:paraId="0FAF4B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344" w:type="dxa"/>
          </w:tcPr>
          <w:p w14:paraId="7DA5D42A">
            <w:pPr>
              <w:spacing w:line="300" w:lineRule="auto"/>
              <w:jc w:val="center"/>
              <w:rPr>
                <w:sz w:val="18"/>
                <w:szCs w:val="18"/>
              </w:rPr>
            </w:pPr>
            <w:r>
              <w:rPr>
                <w:sz w:val="18"/>
                <w:szCs w:val="18"/>
              </w:rPr>
              <w:t>无缺陷</w:t>
            </w:r>
          </w:p>
        </w:tc>
        <w:tc>
          <w:tcPr>
            <w:tcW w:w="1909" w:type="dxa"/>
          </w:tcPr>
          <w:p w14:paraId="5DC9542E">
            <w:pPr>
              <w:spacing w:line="300" w:lineRule="auto"/>
              <w:jc w:val="center"/>
              <w:rPr>
                <w:sz w:val="18"/>
                <w:szCs w:val="18"/>
              </w:rPr>
            </w:pPr>
            <w:r>
              <w:rPr>
                <w:sz w:val="18"/>
                <w:szCs w:val="18"/>
              </w:rPr>
              <w:t>10</w:t>
            </w:r>
          </w:p>
        </w:tc>
      </w:tr>
      <w:tr w14:paraId="129448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344" w:type="dxa"/>
          </w:tcPr>
          <w:p w14:paraId="52F1DD60">
            <w:pPr>
              <w:spacing w:line="300" w:lineRule="auto"/>
              <w:jc w:val="center"/>
              <w:rPr>
                <w:sz w:val="18"/>
                <w:szCs w:val="18"/>
              </w:rPr>
            </w:pPr>
            <w:r>
              <w:rPr>
                <w:sz w:val="18"/>
                <w:szCs w:val="18"/>
              </w:rPr>
              <w:t>X≤0.1</w:t>
            </w:r>
          </w:p>
        </w:tc>
        <w:tc>
          <w:tcPr>
            <w:tcW w:w="1909" w:type="dxa"/>
          </w:tcPr>
          <w:p w14:paraId="23C68976">
            <w:pPr>
              <w:spacing w:line="300" w:lineRule="auto"/>
              <w:jc w:val="center"/>
              <w:rPr>
                <w:sz w:val="18"/>
                <w:szCs w:val="18"/>
              </w:rPr>
            </w:pPr>
            <w:r>
              <w:rPr>
                <w:sz w:val="18"/>
                <w:szCs w:val="18"/>
              </w:rPr>
              <w:t>9</w:t>
            </w:r>
          </w:p>
        </w:tc>
      </w:tr>
      <w:tr w14:paraId="3AFE2A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344" w:type="dxa"/>
          </w:tcPr>
          <w:p w14:paraId="5DB55317">
            <w:pPr>
              <w:spacing w:line="300" w:lineRule="auto"/>
              <w:jc w:val="center"/>
              <w:rPr>
                <w:sz w:val="18"/>
                <w:szCs w:val="18"/>
              </w:rPr>
            </w:pPr>
            <w:r>
              <w:rPr>
                <w:sz w:val="18"/>
                <w:szCs w:val="18"/>
              </w:rPr>
              <w:t>0.</w:t>
            </w:r>
            <w:r>
              <w:rPr>
                <w:rFonts w:hint="eastAsia"/>
                <w:sz w:val="18"/>
                <w:szCs w:val="18"/>
              </w:rPr>
              <w:t>1</w:t>
            </w:r>
            <w:r>
              <w:rPr>
                <w:sz w:val="18"/>
                <w:szCs w:val="18"/>
              </w:rPr>
              <w:t>＜X≤0.25</w:t>
            </w:r>
          </w:p>
        </w:tc>
        <w:tc>
          <w:tcPr>
            <w:tcW w:w="1909" w:type="dxa"/>
          </w:tcPr>
          <w:p w14:paraId="10417A51">
            <w:pPr>
              <w:spacing w:line="300" w:lineRule="auto"/>
              <w:jc w:val="center"/>
              <w:rPr>
                <w:sz w:val="18"/>
                <w:szCs w:val="18"/>
              </w:rPr>
            </w:pPr>
            <w:r>
              <w:rPr>
                <w:sz w:val="18"/>
                <w:szCs w:val="18"/>
              </w:rPr>
              <w:t>8</w:t>
            </w:r>
          </w:p>
        </w:tc>
      </w:tr>
      <w:tr w14:paraId="600C64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344" w:type="dxa"/>
          </w:tcPr>
          <w:p w14:paraId="43B334BF">
            <w:pPr>
              <w:spacing w:line="300" w:lineRule="auto"/>
              <w:jc w:val="center"/>
              <w:rPr>
                <w:sz w:val="18"/>
                <w:szCs w:val="18"/>
              </w:rPr>
            </w:pPr>
            <w:r>
              <w:rPr>
                <w:sz w:val="18"/>
                <w:szCs w:val="18"/>
              </w:rPr>
              <w:t>0.25＜X≤0.5</w:t>
            </w:r>
          </w:p>
        </w:tc>
        <w:tc>
          <w:tcPr>
            <w:tcW w:w="1909" w:type="dxa"/>
          </w:tcPr>
          <w:p w14:paraId="4CFB4ED7">
            <w:pPr>
              <w:spacing w:line="300" w:lineRule="auto"/>
              <w:jc w:val="center"/>
              <w:rPr>
                <w:sz w:val="18"/>
                <w:szCs w:val="18"/>
              </w:rPr>
            </w:pPr>
            <w:r>
              <w:rPr>
                <w:sz w:val="18"/>
                <w:szCs w:val="18"/>
              </w:rPr>
              <w:t>7</w:t>
            </w:r>
          </w:p>
        </w:tc>
      </w:tr>
      <w:tr w14:paraId="57AC3A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344" w:type="dxa"/>
          </w:tcPr>
          <w:p w14:paraId="567B2668">
            <w:pPr>
              <w:spacing w:line="300" w:lineRule="auto"/>
              <w:jc w:val="center"/>
              <w:rPr>
                <w:sz w:val="18"/>
                <w:szCs w:val="18"/>
              </w:rPr>
            </w:pPr>
            <w:r>
              <w:rPr>
                <w:sz w:val="18"/>
                <w:szCs w:val="18"/>
              </w:rPr>
              <w:t>0.5＜X≤1.0</w:t>
            </w:r>
          </w:p>
        </w:tc>
        <w:tc>
          <w:tcPr>
            <w:tcW w:w="1909" w:type="dxa"/>
          </w:tcPr>
          <w:p w14:paraId="4D7D36CD">
            <w:pPr>
              <w:spacing w:line="300" w:lineRule="auto"/>
              <w:jc w:val="center"/>
              <w:rPr>
                <w:sz w:val="18"/>
                <w:szCs w:val="18"/>
              </w:rPr>
            </w:pPr>
            <w:r>
              <w:rPr>
                <w:sz w:val="18"/>
                <w:szCs w:val="18"/>
              </w:rPr>
              <w:t>6</w:t>
            </w:r>
          </w:p>
        </w:tc>
      </w:tr>
      <w:tr w14:paraId="579207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344" w:type="dxa"/>
          </w:tcPr>
          <w:p w14:paraId="0541ADAB">
            <w:pPr>
              <w:spacing w:line="300" w:lineRule="auto"/>
              <w:jc w:val="center"/>
              <w:rPr>
                <w:sz w:val="18"/>
                <w:szCs w:val="18"/>
              </w:rPr>
            </w:pPr>
            <w:r>
              <w:rPr>
                <w:sz w:val="18"/>
                <w:szCs w:val="18"/>
              </w:rPr>
              <w:t>1.0＜X≤2.5</w:t>
            </w:r>
          </w:p>
        </w:tc>
        <w:tc>
          <w:tcPr>
            <w:tcW w:w="1909" w:type="dxa"/>
          </w:tcPr>
          <w:p w14:paraId="43B02541">
            <w:pPr>
              <w:spacing w:line="300" w:lineRule="auto"/>
              <w:jc w:val="center"/>
              <w:rPr>
                <w:sz w:val="18"/>
                <w:szCs w:val="18"/>
              </w:rPr>
            </w:pPr>
            <w:r>
              <w:rPr>
                <w:sz w:val="18"/>
                <w:szCs w:val="18"/>
              </w:rPr>
              <w:t>5</w:t>
            </w:r>
          </w:p>
        </w:tc>
      </w:tr>
      <w:tr w14:paraId="7327D4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344" w:type="dxa"/>
          </w:tcPr>
          <w:p w14:paraId="1846FCB8">
            <w:pPr>
              <w:spacing w:line="300" w:lineRule="auto"/>
              <w:jc w:val="center"/>
              <w:rPr>
                <w:sz w:val="18"/>
                <w:szCs w:val="18"/>
              </w:rPr>
            </w:pPr>
            <w:r>
              <w:rPr>
                <w:sz w:val="18"/>
                <w:szCs w:val="18"/>
              </w:rPr>
              <w:t>2.5＜X≤5</w:t>
            </w:r>
          </w:p>
        </w:tc>
        <w:tc>
          <w:tcPr>
            <w:tcW w:w="1909" w:type="dxa"/>
          </w:tcPr>
          <w:p w14:paraId="7659EEB7">
            <w:pPr>
              <w:spacing w:line="300" w:lineRule="auto"/>
              <w:jc w:val="center"/>
              <w:rPr>
                <w:sz w:val="18"/>
                <w:szCs w:val="18"/>
              </w:rPr>
            </w:pPr>
            <w:r>
              <w:rPr>
                <w:sz w:val="18"/>
                <w:szCs w:val="18"/>
              </w:rPr>
              <w:t>4</w:t>
            </w:r>
          </w:p>
        </w:tc>
      </w:tr>
      <w:tr w14:paraId="44F024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344" w:type="dxa"/>
          </w:tcPr>
          <w:p w14:paraId="5A0DFDE4">
            <w:pPr>
              <w:spacing w:line="300" w:lineRule="auto"/>
              <w:jc w:val="center"/>
              <w:rPr>
                <w:sz w:val="18"/>
                <w:szCs w:val="18"/>
              </w:rPr>
            </w:pPr>
            <w:r>
              <w:rPr>
                <w:sz w:val="18"/>
                <w:szCs w:val="18"/>
              </w:rPr>
              <w:t>5＜X≤10</w:t>
            </w:r>
          </w:p>
        </w:tc>
        <w:tc>
          <w:tcPr>
            <w:tcW w:w="1909" w:type="dxa"/>
          </w:tcPr>
          <w:p w14:paraId="65D203FE">
            <w:pPr>
              <w:spacing w:line="300" w:lineRule="auto"/>
              <w:jc w:val="center"/>
              <w:rPr>
                <w:sz w:val="18"/>
                <w:szCs w:val="18"/>
              </w:rPr>
            </w:pPr>
            <w:r>
              <w:rPr>
                <w:sz w:val="18"/>
                <w:szCs w:val="18"/>
              </w:rPr>
              <w:t>3</w:t>
            </w:r>
          </w:p>
        </w:tc>
      </w:tr>
      <w:tr w14:paraId="0171D8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344" w:type="dxa"/>
          </w:tcPr>
          <w:p w14:paraId="4BABAA8E">
            <w:pPr>
              <w:spacing w:line="300" w:lineRule="auto"/>
              <w:jc w:val="center"/>
              <w:rPr>
                <w:sz w:val="18"/>
                <w:szCs w:val="18"/>
              </w:rPr>
            </w:pPr>
            <w:r>
              <w:rPr>
                <w:sz w:val="18"/>
                <w:szCs w:val="18"/>
              </w:rPr>
              <w:t>10＜X≤25</w:t>
            </w:r>
          </w:p>
        </w:tc>
        <w:tc>
          <w:tcPr>
            <w:tcW w:w="1909" w:type="dxa"/>
          </w:tcPr>
          <w:p w14:paraId="13BAD45E">
            <w:pPr>
              <w:spacing w:line="300" w:lineRule="auto"/>
              <w:jc w:val="center"/>
              <w:rPr>
                <w:sz w:val="18"/>
                <w:szCs w:val="18"/>
              </w:rPr>
            </w:pPr>
            <w:r>
              <w:rPr>
                <w:sz w:val="18"/>
                <w:szCs w:val="18"/>
              </w:rPr>
              <w:t>2</w:t>
            </w:r>
          </w:p>
        </w:tc>
      </w:tr>
      <w:tr w14:paraId="153FC8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344" w:type="dxa"/>
          </w:tcPr>
          <w:p w14:paraId="07827270">
            <w:pPr>
              <w:spacing w:line="300" w:lineRule="auto"/>
              <w:jc w:val="center"/>
              <w:rPr>
                <w:sz w:val="18"/>
                <w:szCs w:val="18"/>
              </w:rPr>
            </w:pPr>
            <w:r>
              <w:rPr>
                <w:sz w:val="18"/>
                <w:szCs w:val="18"/>
              </w:rPr>
              <w:t>25＜X≤50</w:t>
            </w:r>
          </w:p>
        </w:tc>
        <w:tc>
          <w:tcPr>
            <w:tcW w:w="1909" w:type="dxa"/>
          </w:tcPr>
          <w:p w14:paraId="326CDBFA">
            <w:pPr>
              <w:spacing w:line="300" w:lineRule="auto"/>
              <w:jc w:val="center"/>
              <w:rPr>
                <w:sz w:val="18"/>
                <w:szCs w:val="18"/>
              </w:rPr>
            </w:pPr>
            <w:r>
              <w:rPr>
                <w:sz w:val="18"/>
                <w:szCs w:val="18"/>
              </w:rPr>
              <w:t>1</w:t>
            </w:r>
          </w:p>
        </w:tc>
      </w:tr>
      <w:tr w14:paraId="1AE6C9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344" w:type="dxa"/>
          </w:tcPr>
          <w:p w14:paraId="4AE940DE">
            <w:pPr>
              <w:spacing w:line="300" w:lineRule="auto"/>
              <w:jc w:val="center"/>
              <w:rPr>
                <w:sz w:val="18"/>
                <w:szCs w:val="18"/>
              </w:rPr>
            </w:pPr>
            <w:r>
              <w:rPr>
                <w:sz w:val="18"/>
                <w:szCs w:val="18"/>
              </w:rPr>
              <w:t>＞50</w:t>
            </w:r>
          </w:p>
        </w:tc>
        <w:tc>
          <w:tcPr>
            <w:tcW w:w="1909" w:type="dxa"/>
          </w:tcPr>
          <w:p w14:paraId="716A6D0F">
            <w:pPr>
              <w:spacing w:line="300" w:lineRule="auto"/>
              <w:jc w:val="center"/>
              <w:rPr>
                <w:sz w:val="18"/>
                <w:szCs w:val="18"/>
              </w:rPr>
            </w:pPr>
            <w:r>
              <w:rPr>
                <w:sz w:val="18"/>
                <w:szCs w:val="18"/>
              </w:rPr>
              <w:t>0</w:t>
            </w:r>
          </w:p>
        </w:tc>
      </w:tr>
    </w:tbl>
    <w:p w14:paraId="22DC09F8">
      <w:pPr>
        <w:pStyle w:val="235"/>
        <w:numPr>
          <w:ilvl w:val="2"/>
          <w:numId w:val="2"/>
        </w:numPr>
        <w:spacing w:before="120" w:after="120"/>
      </w:pPr>
      <w:bookmarkStart w:id="68" w:name="_Ref192096382"/>
      <w:bookmarkStart w:id="69" w:name="_Toc218775649"/>
      <w:r>
        <w:rPr>
          <w:rFonts w:hint="eastAsia"/>
        </w:rPr>
        <w:t>尺寸与公差</w:t>
      </w:r>
      <w:bookmarkEnd w:id="68"/>
      <w:bookmarkEnd w:id="69"/>
    </w:p>
    <w:p w14:paraId="6E773646">
      <w:pPr>
        <w:spacing w:before="156" w:after="156"/>
        <w:ind w:left="357"/>
        <w:rPr>
          <w:color w:val="FF0000"/>
        </w:rPr>
      </w:pPr>
      <w:r>
        <w:rPr>
          <w:rFonts w:hint="eastAsia" w:ascii="宋体" w:hAnsi="宋体"/>
        </w:rPr>
        <w:t>尺寸与公差应符合脚踏开门器各组成部件相应图纸要求</w:t>
      </w:r>
      <w:r>
        <w:rPr>
          <w:rFonts w:hint="eastAsia"/>
        </w:rPr>
        <w:t>。</w:t>
      </w:r>
    </w:p>
    <w:p w14:paraId="6E6A0AB2">
      <w:pPr>
        <w:pStyle w:val="235"/>
        <w:numPr>
          <w:ilvl w:val="2"/>
          <w:numId w:val="2"/>
        </w:numPr>
        <w:spacing w:before="120" w:after="120"/>
      </w:pPr>
      <w:bookmarkStart w:id="70" w:name="_Toc218775650"/>
      <w:bookmarkStart w:id="71" w:name="_Ref192146151"/>
      <w:r>
        <w:rPr>
          <w:rFonts w:hint="eastAsia"/>
        </w:rPr>
        <w:t>装配质量</w:t>
      </w:r>
      <w:bookmarkEnd w:id="70"/>
      <w:bookmarkEnd w:id="71"/>
    </w:p>
    <w:p w14:paraId="752944D3">
      <w:pPr>
        <w:spacing w:before="156" w:after="156"/>
        <w:ind w:firstLine="420"/>
      </w:pPr>
      <w:r>
        <w:rPr>
          <w:rFonts w:hint="eastAsia"/>
        </w:rPr>
        <w:t>按5.4试验后，脚踏开门器应能正常装配和使用。</w:t>
      </w:r>
    </w:p>
    <w:p w14:paraId="4B423DB9">
      <w:pPr>
        <w:pStyle w:val="235"/>
        <w:numPr>
          <w:ilvl w:val="2"/>
          <w:numId w:val="2"/>
        </w:numPr>
        <w:spacing w:before="120" w:after="120"/>
      </w:pPr>
      <w:bookmarkStart w:id="72" w:name="_Toc218775651"/>
      <w:bookmarkStart w:id="73" w:name="_Ref192152164"/>
      <w:r>
        <w:rPr>
          <w:rFonts w:hint="eastAsia"/>
        </w:rPr>
        <w:t>最大开启角度</w:t>
      </w:r>
      <w:bookmarkEnd w:id="72"/>
      <w:bookmarkEnd w:id="73"/>
    </w:p>
    <w:p w14:paraId="4746D1C6">
      <w:pPr>
        <w:spacing w:before="156" w:after="156"/>
        <w:ind w:firstLine="420" w:firstLineChars="200"/>
        <w:rPr>
          <w:rFonts w:ascii="宋体" w:hAnsi="宋体"/>
          <w:color w:val="000000" w:themeColor="text1"/>
          <w:highlight w:val="none"/>
          <w14:textFill>
            <w14:solidFill>
              <w14:schemeClr w14:val="tx1"/>
            </w14:solidFill>
          </w14:textFill>
        </w:rPr>
      </w:pPr>
      <w:r>
        <w:rPr>
          <w:rFonts w:hint="eastAsia" w:ascii="宋体" w:hAnsi="宋体"/>
        </w:rPr>
        <w:t>按5.5试</w:t>
      </w:r>
      <w:r>
        <w:rPr>
          <w:rFonts w:hint="eastAsia" w:ascii="宋体" w:hAnsi="宋体"/>
          <w:color w:val="000000" w:themeColor="text1"/>
          <w:highlight w:val="none"/>
          <w14:textFill>
            <w14:solidFill>
              <w14:schemeClr w14:val="tx1"/>
            </w14:solidFill>
          </w14:textFill>
        </w:rPr>
        <w:t>验后，脚踏开门器完全开启后，最大开启角度应符合＞95°要求。</w:t>
      </w:r>
    </w:p>
    <w:p w14:paraId="02EA8488">
      <w:pPr>
        <w:pStyle w:val="235"/>
        <w:numPr>
          <w:ilvl w:val="2"/>
          <w:numId w:val="2"/>
        </w:numPr>
        <w:spacing w:before="120" w:after="120"/>
        <w:rPr>
          <w:color w:val="000000" w:themeColor="text1"/>
          <w:highlight w:val="none"/>
          <w14:textFill>
            <w14:solidFill>
              <w14:schemeClr w14:val="tx1"/>
            </w14:solidFill>
          </w14:textFill>
        </w:rPr>
      </w:pPr>
      <w:bookmarkStart w:id="74" w:name="_Toc218775652"/>
      <w:bookmarkStart w:id="75" w:name="_Ref192162302"/>
      <w:r>
        <w:rPr>
          <w:rFonts w:hint="eastAsia"/>
          <w:color w:val="000000" w:themeColor="text1"/>
          <w:highlight w:val="none"/>
          <w14:textFill>
            <w14:solidFill>
              <w14:schemeClr w14:val="tx1"/>
            </w14:solidFill>
          </w14:textFill>
        </w:rPr>
        <w:t>限位结构强度</w:t>
      </w:r>
      <w:bookmarkEnd w:id="74"/>
      <w:bookmarkEnd w:id="75"/>
    </w:p>
    <w:p w14:paraId="79EB0296">
      <w:pPr>
        <w:spacing w:before="156" w:after="156"/>
        <w:ind w:firstLine="420" w:firstLineChars="200"/>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按5.6试验后，脚踏开门器运行10万次，不应出现功能失效，各组成部件无断裂、变形，扭簧可正常复位。</w:t>
      </w:r>
    </w:p>
    <w:p w14:paraId="2F65FF27">
      <w:pPr>
        <w:pStyle w:val="235"/>
        <w:numPr>
          <w:ilvl w:val="2"/>
          <w:numId w:val="2"/>
        </w:numPr>
        <w:spacing w:before="120" w:after="1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落球冲击</w:t>
      </w:r>
    </w:p>
    <w:p w14:paraId="76FA3888">
      <w:pPr>
        <w:pStyle w:val="233"/>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按5.7试验后，</w:t>
      </w:r>
      <w:r>
        <w:rPr>
          <w:rFonts w:hint="eastAsia" w:ascii="宋体" w:hAnsi="宋体"/>
          <w:color w:val="000000" w:themeColor="text1"/>
          <w:highlight w:val="none"/>
          <w14:textFill>
            <w14:solidFill>
              <w14:schemeClr w14:val="tx1"/>
            </w14:solidFill>
          </w14:textFill>
        </w:rPr>
        <w:t>脚踏开门器</w:t>
      </w:r>
      <w:r>
        <w:rPr>
          <w:rFonts w:hint="eastAsia"/>
          <w:color w:val="000000" w:themeColor="text1"/>
          <w:highlight w:val="none"/>
          <w14:textFill>
            <w14:solidFill>
              <w14:schemeClr w14:val="tx1"/>
            </w14:solidFill>
          </w14:textFill>
        </w:rPr>
        <w:t>踏板应无开裂、变形，其他组成部件无断裂、脱落等现象。</w:t>
      </w:r>
    </w:p>
    <w:p w14:paraId="7857B08A">
      <w:pPr>
        <w:pStyle w:val="235"/>
        <w:numPr>
          <w:ilvl w:val="2"/>
          <w:numId w:val="2"/>
        </w:numPr>
        <w:spacing w:before="120" w:after="1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安全性</w:t>
      </w:r>
    </w:p>
    <w:p w14:paraId="571C9724">
      <w:pPr>
        <w:pStyle w:val="233"/>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按5.8试验后，</w:t>
      </w:r>
      <w:r>
        <w:rPr>
          <w:rFonts w:hint="eastAsia" w:ascii="宋体" w:hAnsi="宋体"/>
          <w:color w:val="000000" w:themeColor="text1"/>
          <w:highlight w:val="none"/>
          <w14:textFill>
            <w14:solidFill>
              <w14:schemeClr w14:val="tx1"/>
            </w14:solidFill>
          </w14:textFill>
        </w:rPr>
        <w:t>脚踏开门器</w:t>
      </w:r>
      <w:r>
        <w:rPr>
          <w:rFonts w:hint="eastAsia"/>
          <w:color w:val="000000" w:themeColor="text1"/>
          <w:highlight w:val="none"/>
          <w14:textFill>
            <w14:solidFill>
              <w14:schemeClr w14:val="tx1"/>
            </w14:solidFill>
          </w14:textFill>
        </w:rPr>
        <w:t>踏板应可以顺势收回，并且实验体无划伤。</w:t>
      </w:r>
    </w:p>
    <w:p w14:paraId="7EDF2767">
      <w:pPr>
        <w:pStyle w:val="231"/>
        <w:numPr>
          <w:ilvl w:val="1"/>
          <w:numId w:val="2"/>
        </w:numPr>
        <w:spacing w:before="240" w:after="240"/>
      </w:pPr>
      <w:bookmarkStart w:id="76" w:name="_Toc1651900"/>
      <w:bookmarkStart w:id="77" w:name="_Toc218850317"/>
      <w:bookmarkStart w:id="78" w:name="_Toc218775653"/>
      <w:r>
        <w:rPr>
          <w:rFonts w:hint="eastAsia"/>
        </w:rPr>
        <w:t>试验</w:t>
      </w:r>
      <w:bookmarkEnd w:id="76"/>
      <w:r>
        <w:rPr>
          <w:rFonts w:hint="eastAsia"/>
        </w:rPr>
        <w:t>方法</w:t>
      </w:r>
      <w:bookmarkEnd w:id="77"/>
      <w:bookmarkEnd w:id="78"/>
    </w:p>
    <w:p w14:paraId="51F786C3">
      <w:pPr>
        <w:pStyle w:val="235"/>
        <w:numPr>
          <w:ilvl w:val="2"/>
          <w:numId w:val="2"/>
        </w:numPr>
        <w:spacing w:before="120" w:after="120"/>
      </w:pPr>
      <w:bookmarkStart w:id="79" w:name="_Toc218775654"/>
      <w:bookmarkStart w:id="80" w:name="_Toc169859519"/>
      <w:r>
        <w:rPr>
          <w:rFonts w:hint="eastAsia"/>
        </w:rPr>
        <w:t>试验条件</w:t>
      </w:r>
      <w:bookmarkEnd w:id="79"/>
      <w:bookmarkEnd w:id="80"/>
    </w:p>
    <w:p w14:paraId="1FF9D9DB">
      <w:pPr>
        <w:pStyle w:val="233"/>
        <w:rPr>
          <w:color w:val="000000" w:themeColor="text1"/>
          <w:highlight w:val="none"/>
          <w14:textFill>
            <w14:solidFill>
              <w14:schemeClr w14:val="tx1"/>
            </w14:solidFill>
          </w14:textFill>
        </w:rPr>
      </w:pPr>
      <w:r>
        <w:rPr>
          <w:rFonts w:hint="eastAsia"/>
        </w:rPr>
        <w:t>本文件中若</w:t>
      </w:r>
      <w:r>
        <w:rPr>
          <w:rFonts w:hint="eastAsia"/>
          <w:color w:val="000000" w:themeColor="text1"/>
          <w:highlight w:val="none"/>
          <w14:textFill>
            <w14:solidFill>
              <w14:schemeClr w14:val="tx1"/>
            </w14:solidFill>
          </w14:textFill>
        </w:rPr>
        <w:t>无特别说明，则试验在如下温度、湿度条件下进行：</w:t>
      </w:r>
    </w:p>
    <w:p w14:paraId="4F27796E">
      <w:pPr>
        <w:pStyle w:val="233"/>
        <w:numPr>
          <w:ilvl w:val="0"/>
          <w:numId w:val="34"/>
        </w:numPr>
        <w:ind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温度：20℃±5℃，特殊要求，见相应试验温度。</w:t>
      </w:r>
    </w:p>
    <w:p w14:paraId="386A46C1">
      <w:pPr>
        <w:pStyle w:val="233"/>
        <w:numPr>
          <w:ilvl w:val="0"/>
          <w:numId w:val="34"/>
        </w:numPr>
        <w:ind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湿度（相对）：65％±20℃。</w:t>
      </w:r>
    </w:p>
    <w:p w14:paraId="60293320">
      <w:pPr>
        <w:pStyle w:val="235"/>
        <w:numPr>
          <w:ilvl w:val="2"/>
          <w:numId w:val="2"/>
        </w:numPr>
        <w:spacing w:before="120" w:after="120"/>
      </w:pPr>
      <w:bookmarkStart w:id="81" w:name="_Toc218775655"/>
      <w:bookmarkStart w:id="82" w:name="_Toc169859520"/>
      <w:r>
        <w:rPr>
          <w:rFonts w:hint="eastAsia"/>
        </w:rPr>
        <w:t>外观</w:t>
      </w:r>
      <w:bookmarkEnd w:id="81"/>
      <w:r>
        <w:rPr>
          <w:rFonts w:hint="eastAsia"/>
        </w:rPr>
        <w:t>试验</w:t>
      </w:r>
    </w:p>
    <w:p w14:paraId="279B4ABD">
      <w:pPr>
        <w:spacing w:before="156" w:after="156"/>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外观试验应使用荧光灯或乳白灯，使试验面上的光强度不小于430lx，光源距离被检测件不大于30cm，以手感、目测方法试验。</w:t>
      </w:r>
    </w:p>
    <w:p w14:paraId="0B8EEEA8">
      <w:pPr>
        <w:pStyle w:val="235"/>
        <w:numPr>
          <w:ilvl w:val="2"/>
          <w:numId w:val="2"/>
        </w:numPr>
        <w:spacing w:before="120" w:after="120"/>
      </w:pPr>
      <w:bookmarkStart w:id="83" w:name="_Ref192088931"/>
      <w:bookmarkStart w:id="84" w:name="_Ref192078421"/>
      <w:r>
        <w:rPr>
          <w:rFonts w:hint="eastAsia"/>
        </w:rPr>
        <w:t>耐腐蚀性试验</w:t>
      </w:r>
    </w:p>
    <w:p w14:paraId="05666D24">
      <w:pPr>
        <w:spacing w:before="156" w:after="156"/>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按照GB/T 10125的中性盐雾试验方法，设置盐雾箱温度并制备对应浓度的喷雾液。盐水喷雾箱先喷淋运行8h，随后停止16h为一个周期，连续运行4个周期，试验结果应符合4.2的要求。</w:t>
      </w:r>
    </w:p>
    <w:bookmarkEnd w:id="83"/>
    <w:p w14:paraId="4575A3D8">
      <w:pPr>
        <w:pStyle w:val="235"/>
        <w:numPr>
          <w:ilvl w:val="2"/>
          <w:numId w:val="2"/>
        </w:numPr>
        <w:spacing w:before="120" w:after="120"/>
      </w:pPr>
      <w:bookmarkStart w:id="85" w:name="_Ref192149708"/>
      <w:bookmarkStart w:id="86" w:name="_Toc218775658"/>
      <w:r>
        <w:rPr>
          <w:rFonts w:hint="eastAsia"/>
        </w:rPr>
        <w:t>装配质量</w:t>
      </w:r>
      <w:bookmarkEnd w:id="85"/>
      <w:r>
        <w:rPr>
          <w:rFonts w:hint="eastAsia"/>
        </w:rPr>
        <w:t>试验</w:t>
      </w:r>
      <w:bookmarkEnd w:id="86"/>
    </w:p>
    <w:p w14:paraId="4D1B5DED">
      <w:pPr>
        <w:spacing w:before="156" w:after="156"/>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脚踏开门器按装配说明书装配后，在正常使用状态下，在门体完全关闭时踩踏板，观察门体是否可正常开启，结果应符合4.5的要求。</w:t>
      </w:r>
    </w:p>
    <w:p w14:paraId="2DEF1960">
      <w:pPr>
        <w:pStyle w:val="235"/>
        <w:numPr>
          <w:ilvl w:val="2"/>
          <w:numId w:val="2"/>
        </w:numPr>
        <w:spacing w:before="120" w:after="120"/>
        <w:rPr>
          <w:color w:val="000000" w:themeColor="text1"/>
          <w14:textFill>
            <w14:solidFill>
              <w14:schemeClr w14:val="tx1"/>
            </w14:solidFill>
          </w14:textFill>
        </w:rPr>
      </w:pPr>
      <w:bookmarkStart w:id="87" w:name="_Toc218775659"/>
      <w:bookmarkStart w:id="88" w:name="_Ref192148649"/>
      <w:r>
        <w:rPr>
          <w:rFonts w:hint="eastAsia"/>
          <w:color w:val="000000" w:themeColor="text1"/>
          <w14:textFill>
            <w14:solidFill>
              <w14:schemeClr w14:val="tx1"/>
            </w14:solidFill>
          </w14:textFill>
        </w:rPr>
        <w:t>最大开启角度</w:t>
      </w:r>
      <w:bookmarkEnd w:id="84"/>
      <w:bookmarkEnd w:id="87"/>
      <w:bookmarkEnd w:id="88"/>
    </w:p>
    <w:p w14:paraId="48AD4E44">
      <w:pPr>
        <w:spacing w:before="156" w:after="156"/>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将脚踏开门器安装在试验台上，踩踏板使得试验门体开启到最大角度（图2），参数如表2所示，结果符合4.6的要求。</w:t>
      </w:r>
    </w:p>
    <w:p w14:paraId="3BA0711A">
      <w:pPr>
        <w:pStyle w:val="243"/>
        <w:numPr>
          <w:ilvl w:val="0"/>
          <w:numId w:val="0"/>
        </w:numPr>
        <w:spacing w:before="120" w:after="120"/>
        <w:rPr>
          <w:rFonts w:ascii="宋体" w:hAnsi="宋体"/>
        </w:rPr>
      </w:pPr>
      <w:r>
        <w:t xml:space="preserve">  </w:t>
      </w:r>
      <w:r>
        <w:drawing>
          <wp:inline distT="0" distB="0" distL="0" distR="0">
            <wp:extent cx="2513965" cy="2444750"/>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7"/>
                    <a:stretch>
                      <a:fillRect/>
                    </a:stretch>
                  </pic:blipFill>
                  <pic:spPr>
                    <a:xfrm>
                      <a:off x="0" y="0"/>
                      <a:ext cx="2521533" cy="2451715"/>
                    </a:xfrm>
                    <a:prstGeom prst="rect">
                      <a:avLst/>
                    </a:prstGeom>
                  </pic:spPr>
                </pic:pic>
              </a:graphicData>
            </a:graphic>
          </wp:inline>
        </w:drawing>
      </w:r>
    </w:p>
    <w:p w14:paraId="151FC997">
      <w:pPr>
        <w:pStyle w:val="233"/>
        <w:ind w:firstLine="0" w:firstLineChars="0"/>
        <w:jc w:val="center"/>
        <w:rPr>
          <w:rFonts w:ascii="宋体" w:hAnsi="宋体" w:cs="Times New Roman"/>
          <w:sz w:val="20"/>
          <w:szCs w:val="20"/>
        </w:rPr>
      </w:pPr>
      <w:r>
        <w:rPr>
          <w:rFonts w:hint="eastAsia" w:ascii="宋体" w:hAnsi="宋体" w:cs="Times New Roman"/>
          <w:sz w:val="20"/>
          <w:szCs w:val="20"/>
        </w:rPr>
        <w:t xml:space="preserve"> 图2 使用状态</w:t>
      </w:r>
    </w:p>
    <w:p w14:paraId="7F8562D8">
      <w:pPr>
        <w:pStyle w:val="243"/>
        <w:numPr>
          <w:ilvl w:val="0"/>
          <w:numId w:val="0"/>
        </w:numPr>
        <w:spacing w:before="120" w:after="120"/>
        <w:ind w:left="420" w:hanging="420"/>
        <w:rPr>
          <w:rFonts w:eastAsia="宋体"/>
          <w:bCs/>
        </w:rPr>
      </w:pPr>
      <w:r>
        <w:rPr>
          <w:rFonts w:eastAsia="宋体"/>
          <w:bCs/>
        </w:rPr>
        <w:t>表</w:t>
      </w:r>
      <w:r>
        <w:rPr>
          <w:rFonts w:hint="eastAsia" w:eastAsia="宋体"/>
          <w:bCs/>
        </w:rPr>
        <w:t>2</w:t>
      </w:r>
      <w:r>
        <w:rPr>
          <w:rFonts w:eastAsia="宋体"/>
          <w:bCs/>
        </w:rPr>
        <w:t xml:space="preserve"> </w:t>
      </w:r>
      <w:r>
        <w:rPr>
          <w:rFonts w:hint="eastAsia" w:eastAsia="宋体"/>
          <w:bCs/>
        </w:rPr>
        <w:t>不同状态参数值</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3115"/>
        <w:gridCol w:w="2413"/>
      </w:tblGrid>
      <w:tr w14:paraId="6854B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1" w:type="dxa"/>
          </w:tcPr>
          <w:p w14:paraId="3B2DF321">
            <w:pPr>
              <w:pStyle w:val="233"/>
              <w:ind w:firstLine="0" w:firstLineChars="0"/>
              <w:jc w:val="center"/>
              <w:rPr>
                <w:b/>
                <w:bCs/>
                <w:sz w:val="18"/>
                <w:szCs w:val="18"/>
              </w:rPr>
            </w:pPr>
            <w:r>
              <w:rPr>
                <w:rFonts w:hint="eastAsia"/>
                <w:b/>
                <w:bCs/>
                <w:sz w:val="18"/>
                <w:szCs w:val="18"/>
              </w:rPr>
              <w:t>状态</w:t>
            </w:r>
          </w:p>
        </w:tc>
        <w:tc>
          <w:tcPr>
            <w:tcW w:w="3115" w:type="dxa"/>
          </w:tcPr>
          <w:p w14:paraId="6CD4F9CD">
            <w:pPr>
              <w:pStyle w:val="233"/>
              <w:ind w:firstLine="0" w:firstLineChars="0"/>
              <w:jc w:val="center"/>
              <w:rPr>
                <w:b/>
                <w:bCs/>
                <w:sz w:val="18"/>
                <w:szCs w:val="18"/>
              </w:rPr>
            </w:pPr>
            <w:r>
              <w:rPr>
                <w:rFonts w:hint="eastAsia"/>
                <w:b/>
                <w:bCs/>
                <w:sz w:val="18"/>
                <w:szCs w:val="18"/>
              </w:rPr>
              <w:t>门与箱体间距/L（mm）</w:t>
            </w:r>
          </w:p>
        </w:tc>
        <w:tc>
          <w:tcPr>
            <w:tcW w:w="2413" w:type="dxa"/>
          </w:tcPr>
          <w:p w14:paraId="41800BE2">
            <w:pPr>
              <w:pStyle w:val="233"/>
              <w:ind w:firstLine="0" w:firstLineChars="0"/>
              <w:jc w:val="center"/>
              <w:rPr>
                <w:b/>
                <w:bCs/>
                <w:sz w:val="18"/>
                <w:szCs w:val="18"/>
              </w:rPr>
            </w:pPr>
            <w:r>
              <w:rPr>
                <w:rFonts w:hint="eastAsia"/>
                <w:b/>
                <w:bCs/>
                <w:sz w:val="18"/>
                <w:szCs w:val="18"/>
              </w:rPr>
              <w:t>摆杆开启角度/</w:t>
            </w:r>
            <w:r>
              <w:rPr>
                <w:rFonts w:hint="eastAsia" w:ascii="宋体" w:hAnsi="宋体"/>
                <w:b/>
                <w:bCs/>
                <w:sz w:val="18"/>
                <w:szCs w:val="18"/>
              </w:rPr>
              <w:t>θ</w:t>
            </w:r>
            <w:r>
              <w:rPr>
                <w:rFonts w:hint="eastAsia"/>
                <w:b/>
                <w:bCs/>
                <w:sz w:val="18"/>
                <w:szCs w:val="18"/>
              </w:rPr>
              <w:t>（°）</w:t>
            </w:r>
          </w:p>
        </w:tc>
      </w:tr>
      <w:tr w14:paraId="55CBF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1" w:type="dxa"/>
          </w:tcPr>
          <w:p w14:paraId="77C6887A">
            <w:pPr>
              <w:pStyle w:val="233"/>
              <w:ind w:firstLine="0" w:firstLineChars="0"/>
              <w:jc w:val="center"/>
              <w:rPr>
                <w:sz w:val="18"/>
                <w:szCs w:val="18"/>
              </w:rPr>
            </w:pPr>
            <w:r>
              <w:rPr>
                <w:rFonts w:hint="eastAsia"/>
                <w:sz w:val="18"/>
                <w:szCs w:val="18"/>
              </w:rPr>
              <w:t>使用状态</w:t>
            </w:r>
          </w:p>
        </w:tc>
        <w:tc>
          <w:tcPr>
            <w:tcW w:w="3115" w:type="dxa"/>
          </w:tcPr>
          <w:p w14:paraId="166EAB48">
            <w:pPr>
              <w:pStyle w:val="233"/>
              <w:ind w:firstLine="0" w:firstLineChars="0"/>
              <w:jc w:val="center"/>
              <w:rPr>
                <w:sz w:val="18"/>
                <w:szCs w:val="18"/>
              </w:rPr>
            </w:pPr>
            <w:r>
              <w:rPr>
                <w:rFonts w:hint="eastAsia"/>
                <w:sz w:val="18"/>
                <w:szCs w:val="18"/>
              </w:rPr>
              <w:t>30≤L2</w:t>
            </w:r>
          </w:p>
        </w:tc>
        <w:tc>
          <w:tcPr>
            <w:tcW w:w="2413" w:type="dxa"/>
          </w:tcPr>
          <w:p w14:paraId="2EAD9F7B">
            <w:pPr>
              <w:pStyle w:val="233"/>
              <w:ind w:firstLine="0" w:firstLineChars="0"/>
              <w:jc w:val="center"/>
              <w:rPr>
                <w:sz w:val="18"/>
                <w:szCs w:val="18"/>
              </w:rPr>
            </w:pPr>
            <w:r>
              <w:rPr>
                <w:rFonts w:hint="eastAsia" w:ascii="宋体" w:hAnsi="宋体"/>
                <w:sz w:val="18"/>
                <w:szCs w:val="18"/>
              </w:rPr>
              <w:t>95°＜θ</w:t>
            </w:r>
          </w:p>
        </w:tc>
      </w:tr>
    </w:tbl>
    <w:p w14:paraId="0E19D9EB">
      <w:pPr>
        <w:pStyle w:val="235"/>
        <w:numPr>
          <w:ilvl w:val="2"/>
          <w:numId w:val="2"/>
        </w:numPr>
        <w:spacing w:before="120" w:after="120"/>
      </w:pPr>
      <w:bookmarkStart w:id="89" w:name="_Toc218775660"/>
      <w:bookmarkStart w:id="90" w:name="_Ref192074630"/>
      <w:r>
        <w:rPr>
          <w:rFonts w:hint="eastAsia"/>
        </w:rPr>
        <w:t>限位结构强度试验</w:t>
      </w:r>
      <w:bookmarkEnd w:id="89"/>
      <w:bookmarkEnd w:id="90"/>
    </w:p>
    <w:p w14:paraId="10C9C279">
      <w:pPr>
        <w:spacing w:before="156" w:after="156"/>
        <w:ind w:firstLine="420" w:firstLineChars="200"/>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 xml:space="preserve">将脚踏开门器安装到试验台上进行踩踏试验，拨动踏板至临界位置，用脚踩踏板进行试验，门打开后直至自然停止，关上门体，再次进行踩踏，循环此过程10万次，测试结果应符合4.7的要求。 </w:t>
      </w:r>
      <w:r>
        <w:rPr>
          <w:rFonts w:hint="eastAsia" w:ascii="宋体" w:hAnsi="宋体"/>
          <w:color w:val="000000" w:themeColor="text1"/>
          <w:sz w:val="20"/>
          <w:szCs w:val="20"/>
          <w:highlight w:val="none"/>
          <w14:textFill>
            <w14:solidFill>
              <w14:schemeClr w14:val="tx1"/>
            </w14:solidFill>
          </w14:textFill>
        </w:rPr>
        <w:t xml:space="preserve">  </w:t>
      </w:r>
    </w:p>
    <w:p w14:paraId="273654FB">
      <w:pPr>
        <w:pStyle w:val="235"/>
        <w:numPr>
          <w:ilvl w:val="2"/>
          <w:numId w:val="2"/>
        </w:numPr>
        <w:spacing w:before="120" w:after="1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落球冲击试验</w:t>
      </w:r>
    </w:p>
    <w:p w14:paraId="6A66DD6C">
      <w:pPr>
        <w:adjustRightInd/>
        <w:spacing w:before="156" w:after="156" w:line="240" w:lineRule="auto"/>
        <w:ind w:firstLine="420" w:firstLineChars="200"/>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将脚踏开门器安装在试验台上（见图3），使用重1kg实心钢球，从高度0.7m处自由落体，沿竖直方向冲击踏板的中心部位，测试结果应符合4.8的要求。</w:t>
      </w:r>
    </w:p>
    <w:p w14:paraId="074979F0">
      <w:pPr>
        <w:pStyle w:val="182"/>
        <w:ind w:firstLine="360"/>
        <w:jc w:val="center"/>
        <w:rPr>
          <w:rFonts w:ascii="Cambria" w:hAnsi="Cambria" w:eastAsia="黑体"/>
          <w:sz w:val="20"/>
        </w:rPr>
      </w:pPr>
      <w:r>
        <w:drawing>
          <wp:inline distT="0" distB="0" distL="0" distR="0">
            <wp:extent cx="3098800" cy="3181350"/>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8"/>
                    <a:stretch>
                      <a:fillRect/>
                    </a:stretch>
                  </pic:blipFill>
                  <pic:spPr>
                    <a:xfrm>
                      <a:off x="0" y="0"/>
                      <a:ext cx="3107516" cy="3190571"/>
                    </a:xfrm>
                    <a:prstGeom prst="rect">
                      <a:avLst/>
                    </a:prstGeom>
                  </pic:spPr>
                </pic:pic>
              </a:graphicData>
            </a:graphic>
          </wp:inline>
        </w:drawing>
      </w:r>
    </w:p>
    <w:p w14:paraId="28D7AFC6">
      <w:pPr>
        <w:adjustRightInd/>
        <w:spacing w:before="156" w:after="156" w:line="240" w:lineRule="auto"/>
        <w:jc w:val="center"/>
        <w:rPr>
          <w:rFonts w:ascii="宋体" w:hAnsi="宋体"/>
        </w:rPr>
      </w:pPr>
      <w:r>
        <w:rPr>
          <w:rFonts w:hint="eastAsia" w:ascii="宋体" w:hAnsi="宋体"/>
          <w:sz w:val="20"/>
          <w:szCs w:val="20"/>
        </w:rPr>
        <w:t>图3 落球冲击试验示意图</w:t>
      </w:r>
    </w:p>
    <w:p w14:paraId="757F129F">
      <w:pPr>
        <w:pStyle w:val="235"/>
        <w:numPr>
          <w:ilvl w:val="2"/>
          <w:numId w:val="2"/>
        </w:numPr>
        <w:spacing w:before="120" w:after="120"/>
      </w:pPr>
      <w:r>
        <w:rPr>
          <w:rFonts w:hint="eastAsia"/>
        </w:rPr>
        <w:t>安全性</w:t>
      </w:r>
    </w:p>
    <w:p w14:paraId="26FA59D8">
      <w:pPr>
        <w:adjustRightInd/>
        <w:spacing w:before="156" w:after="156" w:line="240" w:lineRule="auto"/>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将脚踏开门器置于临界状态，使用</w:t>
      </w:r>
      <w:r>
        <w:rPr>
          <w:rFonts w:hint="eastAsia" w:ascii="宋体" w:hAnsi="宋体"/>
          <w:color w:val="000000" w:themeColor="text1"/>
          <w:highlight w:val="yellow"/>
          <w14:textFill>
            <w14:solidFill>
              <w14:schemeClr w14:val="tx1"/>
            </w14:solidFill>
          </w14:textFill>
        </w:rPr>
        <w:t>模拟人裸脚的软硅胶实验体</w:t>
      </w:r>
      <w:r>
        <w:rPr>
          <w:rFonts w:hint="eastAsia" w:ascii="宋体" w:hAnsi="宋体"/>
          <w:color w:val="000000" w:themeColor="text1"/>
          <w14:textFill>
            <w14:solidFill>
              <w14:schemeClr w14:val="tx1"/>
            </w14:solidFill>
          </w14:textFill>
        </w:rPr>
        <w:t>沿踏板边缘部分进行</w:t>
      </w:r>
      <w:bookmarkStart w:id="91" w:name="_Hlk220317073"/>
      <w:r>
        <w:rPr>
          <w:rFonts w:hint="eastAsia" w:ascii="宋体" w:hAnsi="宋体"/>
          <w:color w:val="000000" w:themeColor="text1"/>
          <w14:textFill>
            <w14:solidFill>
              <w14:schemeClr w14:val="tx1"/>
            </w14:solidFill>
          </w14:textFill>
        </w:rPr>
        <w:t>碰触试验，踏板应可以顺势收回，并且脚背无划伤</w:t>
      </w:r>
      <w:bookmarkEnd w:id="91"/>
      <w:r>
        <w:rPr>
          <w:rFonts w:hint="eastAsia" w:ascii="宋体" w:hAnsi="宋体"/>
          <w:color w:val="000000" w:themeColor="text1"/>
          <w14:textFill>
            <w14:solidFill>
              <w14:schemeClr w14:val="tx1"/>
            </w14:solidFill>
          </w14:textFill>
        </w:rPr>
        <w:t>，测试结果应符合4.9的要求。</w:t>
      </w:r>
    </w:p>
    <w:bookmarkEnd w:id="82"/>
    <w:p w14:paraId="6D558583">
      <w:pPr>
        <w:pStyle w:val="231"/>
        <w:numPr>
          <w:ilvl w:val="1"/>
          <w:numId w:val="2"/>
        </w:numPr>
        <w:spacing w:before="240" w:after="240"/>
        <w:rPr>
          <w:color w:val="000000" w:themeColor="text1"/>
          <w14:textFill>
            <w14:solidFill>
              <w14:schemeClr w14:val="tx1"/>
            </w14:solidFill>
          </w14:textFill>
        </w:rPr>
      </w:pPr>
      <w:bookmarkStart w:id="92" w:name="_Toc218850318"/>
      <w:bookmarkStart w:id="93" w:name="_Toc218775661"/>
      <w:r>
        <w:rPr>
          <w:rFonts w:hint="eastAsia"/>
          <w:color w:val="000000" w:themeColor="text1"/>
          <w14:textFill>
            <w14:solidFill>
              <w14:schemeClr w14:val="tx1"/>
            </w14:solidFill>
          </w14:textFill>
        </w:rPr>
        <w:t>检验规则</w:t>
      </w:r>
      <w:bookmarkEnd w:id="92"/>
      <w:bookmarkEnd w:id="93"/>
    </w:p>
    <w:p w14:paraId="04EFEED3">
      <w:pPr>
        <w:pStyle w:val="235"/>
        <w:numPr>
          <w:ilvl w:val="2"/>
          <w:numId w:val="2"/>
        </w:numPr>
        <w:spacing w:before="120" w:after="120"/>
        <w:rPr>
          <w:color w:val="000000" w:themeColor="text1"/>
          <w14:textFill>
            <w14:solidFill>
              <w14:schemeClr w14:val="tx1"/>
            </w14:solidFill>
          </w14:textFill>
        </w:rPr>
      </w:pPr>
      <w:bookmarkStart w:id="94" w:name="_Toc218775662"/>
      <w:r>
        <w:rPr>
          <w:rFonts w:hint="eastAsia"/>
          <w:color w:val="000000" w:themeColor="text1"/>
          <w14:textFill>
            <w14:solidFill>
              <w14:schemeClr w14:val="tx1"/>
            </w14:solidFill>
          </w14:textFill>
        </w:rPr>
        <w:t>出厂检验</w:t>
      </w:r>
      <w:bookmarkEnd w:id="94"/>
    </w:p>
    <w:p w14:paraId="03A9CE6D">
      <w:pPr>
        <w:spacing w:before="156" w:after="156"/>
        <w:ind w:firstLine="420"/>
        <w:jc w:val="left"/>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检验项目、技术要求、试验方法、检验频次见表3。</w:t>
      </w:r>
    </w:p>
    <w:p w14:paraId="2460E0CC">
      <w:pPr>
        <w:spacing w:before="156" w:after="156"/>
        <w:jc w:val="center"/>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表3</w:t>
      </w:r>
      <w:r>
        <w:rPr>
          <w:rFonts w:ascii="宋体" w:hAnsi="宋体"/>
          <w:color w:val="000000" w:themeColor="text1"/>
          <w14:textFill>
            <w14:solidFill>
              <w14:schemeClr w14:val="tx1"/>
            </w14:solidFill>
          </w14:textFill>
        </w:rPr>
        <w:t xml:space="preserve"> </w:t>
      </w:r>
      <w:r>
        <w:rPr>
          <w:rFonts w:hint="eastAsia" w:ascii="宋体" w:hAnsi="宋体"/>
          <w:color w:val="000000" w:themeColor="text1"/>
          <w14:textFill>
            <w14:solidFill>
              <w14:schemeClr w14:val="tx1"/>
            </w14:solidFill>
          </w14:textFill>
        </w:rPr>
        <w:t>出厂检验</w:t>
      </w:r>
    </w:p>
    <w:tbl>
      <w:tblPr>
        <w:tblStyle w:val="27"/>
        <w:tblW w:w="921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2"/>
        <w:gridCol w:w="1921"/>
        <w:gridCol w:w="1135"/>
        <w:gridCol w:w="2693"/>
        <w:gridCol w:w="2693"/>
      </w:tblGrid>
      <w:tr w14:paraId="06448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0" w:type="auto"/>
          </w:tcPr>
          <w:p w14:paraId="339CCA9A">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序号</w:t>
            </w:r>
          </w:p>
        </w:tc>
        <w:tc>
          <w:tcPr>
            <w:tcW w:w="1921" w:type="dxa"/>
          </w:tcPr>
          <w:p w14:paraId="21153D47">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检验项目</w:t>
            </w:r>
          </w:p>
        </w:tc>
        <w:tc>
          <w:tcPr>
            <w:tcW w:w="1135" w:type="dxa"/>
          </w:tcPr>
          <w:p w14:paraId="46DCA3A3">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技术要求</w:t>
            </w:r>
          </w:p>
        </w:tc>
        <w:tc>
          <w:tcPr>
            <w:tcW w:w="2693" w:type="dxa"/>
          </w:tcPr>
          <w:p w14:paraId="197E6BB3">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试验方法</w:t>
            </w:r>
          </w:p>
        </w:tc>
        <w:tc>
          <w:tcPr>
            <w:tcW w:w="2693" w:type="dxa"/>
          </w:tcPr>
          <w:p w14:paraId="21F67072">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检验频次</w:t>
            </w:r>
          </w:p>
        </w:tc>
      </w:tr>
      <w:tr w14:paraId="64E9E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0" w:type="auto"/>
          </w:tcPr>
          <w:p w14:paraId="0DA1E033">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1</w:t>
            </w:r>
          </w:p>
        </w:tc>
        <w:tc>
          <w:tcPr>
            <w:tcW w:w="1921" w:type="dxa"/>
          </w:tcPr>
          <w:p w14:paraId="1622BCBA">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外观</w:t>
            </w:r>
          </w:p>
        </w:tc>
        <w:tc>
          <w:tcPr>
            <w:tcW w:w="1135" w:type="dxa"/>
          </w:tcPr>
          <w:p w14:paraId="4DAEE7E3">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4.2</w:t>
            </w:r>
          </w:p>
        </w:tc>
        <w:tc>
          <w:tcPr>
            <w:tcW w:w="2693" w:type="dxa"/>
          </w:tcPr>
          <w:p w14:paraId="4A02D1C5">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5.2</w:t>
            </w:r>
          </w:p>
        </w:tc>
        <w:tc>
          <w:tcPr>
            <w:tcW w:w="2693" w:type="dxa"/>
          </w:tcPr>
          <w:p w14:paraId="69365864">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批检，抽样≥3。</w:t>
            </w:r>
          </w:p>
        </w:tc>
      </w:tr>
      <w:tr w14:paraId="02C49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0" w:type="auto"/>
          </w:tcPr>
          <w:p w14:paraId="7D798108">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2</w:t>
            </w:r>
          </w:p>
        </w:tc>
        <w:tc>
          <w:tcPr>
            <w:tcW w:w="1921" w:type="dxa"/>
          </w:tcPr>
          <w:p w14:paraId="39581A13">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耐腐蚀性</w:t>
            </w:r>
          </w:p>
        </w:tc>
        <w:tc>
          <w:tcPr>
            <w:tcW w:w="1135" w:type="dxa"/>
          </w:tcPr>
          <w:p w14:paraId="03ED22A6">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4.3</w:t>
            </w:r>
          </w:p>
        </w:tc>
        <w:tc>
          <w:tcPr>
            <w:tcW w:w="2693" w:type="dxa"/>
          </w:tcPr>
          <w:p w14:paraId="3B56E251">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5.3</w:t>
            </w:r>
          </w:p>
        </w:tc>
        <w:tc>
          <w:tcPr>
            <w:tcW w:w="2693" w:type="dxa"/>
          </w:tcPr>
          <w:p w14:paraId="0F35171E">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抽检，抽样≥3，1次/半年</w:t>
            </w:r>
          </w:p>
        </w:tc>
      </w:tr>
      <w:tr w14:paraId="5FDDE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0" w:type="auto"/>
          </w:tcPr>
          <w:p w14:paraId="4BE0317C">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3</w:t>
            </w:r>
          </w:p>
        </w:tc>
        <w:tc>
          <w:tcPr>
            <w:tcW w:w="1921" w:type="dxa"/>
          </w:tcPr>
          <w:p w14:paraId="72D72F86">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尺寸与公差</w:t>
            </w:r>
          </w:p>
        </w:tc>
        <w:tc>
          <w:tcPr>
            <w:tcW w:w="1135" w:type="dxa"/>
          </w:tcPr>
          <w:p w14:paraId="4447117A">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4.4</w:t>
            </w:r>
          </w:p>
        </w:tc>
        <w:tc>
          <w:tcPr>
            <w:tcW w:w="2693" w:type="dxa"/>
          </w:tcPr>
          <w:p w14:paraId="75766170">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w:t>
            </w:r>
          </w:p>
        </w:tc>
        <w:tc>
          <w:tcPr>
            <w:tcW w:w="2693" w:type="dxa"/>
          </w:tcPr>
          <w:p w14:paraId="59850A02">
            <w:pPr>
              <w:snapToGrid w:val="0"/>
              <w:spacing w:before="120" w:after="120"/>
              <w:jc w:val="center"/>
              <w:textAlignment w:val="center"/>
              <w:rPr>
                <w:rFonts w:asciiTheme="minorEastAsia" w:hAnsiTheme="minorEastAsia"/>
                <w:sz w:val="18"/>
                <w:szCs w:val="18"/>
              </w:rPr>
            </w:pPr>
            <w:r>
              <w:rPr>
                <w:rFonts w:hint="eastAsia" w:asciiTheme="minorEastAsia" w:hAnsiTheme="minorEastAsia"/>
                <w:sz w:val="18"/>
                <w:szCs w:val="18"/>
              </w:rPr>
              <w:t>批检，抽样≥3。</w:t>
            </w:r>
          </w:p>
        </w:tc>
      </w:tr>
    </w:tbl>
    <w:p w14:paraId="5EE2009E">
      <w:pPr>
        <w:pStyle w:val="235"/>
        <w:numPr>
          <w:ilvl w:val="2"/>
          <w:numId w:val="2"/>
        </w:numPr>
        <w:spacing w:before="120" w:after="120"/>
        <w:rPr>
          <w:color w:val="000000" w:themeColor="text1"/>
          <w14:textFill>
            <w14:solidFill>
              <w14:schemeClr w14:val="tx1"/>
            </w14:solidFill>
          </w14:textFill>
        </w:rPr>
      </w:pPr>
      <w:bookmarkStart w:id="95" w:name="_Toc218775663"/>
      <w:r>
        <w:rPr>
          <w:rFonts w:hint="eastAsia"/>
          <w:color w:val="000000" w:themeColor="text1"/>
          <w14:textFill>
            <w14:solidFill>
              <w14:schemeClr w14:val="tx1"/>
            </w14:solidFill>
          </w14:textFill>
        </w:rPr>
        <w:t>抽样检验</w:t>
      </w:r>
      <w:bookmarkEnd w:id="95"/>
    </w:p>
    <w:p w14:paraId="1F3E87FD">
      <w:pPr>
        <w:spacing w:before="156" w:after="156"/>
        <w:ind w:firstLine="420"/>
        <w:jc w:val="left"/>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检验项目、技术要求、试验方法、检验频次见表</w:t>
      </w:r>
      <w:r>
        <w:rPr>
          <w:rFonts w:ascii="宋体" w:hAnsi="宋体"/>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w:t>
      </w:r>
    </w:p>
    <w:p w14:paraId="3CF3BF8A">
      <w:pPr>
        <w:spacing w:before="156" w:after="156"/>
        <w:jc w:val="center"/>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表4</w:t>
      </w:r>
      <w:r>
        <w:rPr>
          <w:rFonts w:ascii="宋体" w:hAnsi="宋体"/>
          <w:color w:val="000000" w:themeColor="text1"/>
          <w14:textFill>
            <w14:solidFill>
              <w14:schemeClr w14:val="tx1"/>
            </w14:solidFill>
          </w14:textFill>
        </w:rPr>
        <w:t xml:space="preserve"> </w:t>
      </w:r>
      <w:r>
        <w:rPr>
          <w:rFonts w:hint="eastAsia" w:ascii="宋体" w:hAnsi="宋体"/>
          <w:color w:val="000000" w:themeColor="text1"/>
          <w14:textFill>
            <w14:solidFill>
              <w14:schemeClr w14:val="tx1"/>
            </w14:solidFill>
          </w14:textFill>
        </w:rPr>
        <w:t>抽样检验</w:t>
      </w:r>
    </w:p>
    <w:tbl>
      <w:tblPr>
        <w:tblStyle w:val="27"/>
        <w:tblW w:w="921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2"/>
        <w:gridCol w:w="1921"/>
        <w:gridCol w:w="1135"/>
        <w:gridCol w:w="2268"/>
        <w:gridCol w:w="3118"/>
      </w:tblGrid>
      <w:tr w14:paraId="0E827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0" w:type="auto"/>
          </w:tcPr>
          <w:p w14:paraId="6E07E7AC">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序号</w:t>
            </w:r>
          </w:p>
        </w:tc>
        <w:tc>
          <w:tcPr>
            <w:tcW w:w="1921" w:type="dxa"/>
          </w:tcPr>
          <w:p w14:paraId="404FA9D2">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检验项目</w:t>
            </w:r>
          </w:p>
        </w:tc>
        <w:tc>
          <w:tcPr>
            <w:tcW w:w="1135" w:type="dxa"/>
          </w:tcPr>
          <w:p w14:paraId="4B32AC57">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技术要求</w:t>
            </w:r>
          </w:p>
        </w:tc>
        <w:tc>
          <w:tcPr>
            <w:tcW w:w="2268" w:type="dxa"/>
          </w:tcPr>
          <w:p w14:paraId="720A5148">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试验方法</w:t>
            </w:r>
          </w:p>
        </w:tc>
        <w:tc>
          <w:tcPr>
            <w:tcW w:w="3118" w:type="dxa"/>
          </w:tcPr>
          <w:p w14:paraId="10DD2288">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检验频次</w:t>
            </w:r>
          </w:p>
        </w:tc>
      </w:tr>
      <w:tr w14:paraId="623CF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0" w:type="auto"/>
          </w:tcPr>
          <w:p w14:paraId="3E93D260">
            <w:pPr>
              <w:snapToGrid w:val="0"/>
              <w:spacing w:before="120" w:after="120"/>
              <w:jc w:val="center"/>
              <w:textAlignment w:val="center"/>
              <w:rPr>
                <w:rFonts w:asciiTheme="minorEastAsia" w:hAnsiTheme="minorEastAsia"/>
                <w:sz w:val="18"/>
                <w:szCs w:val="20"/>
              </w:rPr>
            </w:pPr>
            <w:r>
              <w:rPr>
                <w:rFonts w:asciiTheme="minorEastAsia" w:hAnsiTheme="minorEastAsia"/>
                <w:sz w:val="18"/>
                <w:szCs w:val="20"/>
              </w:rPr>
              <w:t>1</w:t>
            </w:r>
          </w:p>
        </w:tc>
        <w:tc>
          <w:tcPr>
            <w:tcW w:w="1921" w:type="dxa"/>
          </w:tcPr>
          <w:p w14:paraId="47FA81EB">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装配质量</w:t>
            </w:r>
          </w:p>
        </w:tc>
        <w:tc>
          <w:tcPr>
            <w:tcW w:w="1135" w:type="dxa"/>
          </w:tcPr>
          <w:p w14:paraId="7056F46D">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4.5</w:t>
            </w:r>
          </w:p>
        </w:tc>
        <w:tc>
          <w:tcPr>
            <w:tcW w:w="2268" w:type="dxa"/>
          </w:tcPr>
          <w:p w14:paraId="52EBF48E">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5.4</w:t>
            </w:r>
          </w:p>
        </w:tc>
        <w:tc>
          <w:tcPr>
            <w:tcW w:w="3118" w:type="dxa"/>
          </w:tcPr>
          <w:p w14:paraId="4111C846">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抽检，抽样≥3，1次/3月。</w:t>
            </w:r>
          </w:p>
        </w:tc>
      </w:tr>
      <w:tr w14:paraId="7C25A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0" w:type="auto"/>
          </w:tcPr>
          <w:p w14:paraId="5750C04D">
            <w:pPr>
              <w:snapToGrid w:val="0"/>
              <w:spacing w:before="120" w:after="120"/>
              <w:jc w:val="center"/>
              <w:textAlignment w:val="center"/>
              <w:rPr>
                <w:rFonts w:asciiTheme="minorEastAsia" w:hAnsiTheme="minorEastAsia"/>
                <w:sz w:val="18"/>
                <w:szCs w:val="20"/>
              </w:rPr>
            </w:pPr>
            <w:r>
              <w:rPr>
                <w:rFonts w:asciiTheme="minorEastAsia" w:hAnsiTheme="minorEastAsia"/>
                <w:sz w:val="18"/>
                <w:szCs w:val="20"/>
              </w:rPr>
              <w:t>2</w:t>
            </w:r>
          </w:p>
        </w:tc>
        <w:tc>
          <w:tcPr>
            <w:tcW w:w="1921" w:type="dxa"/>
          </w:tcPr>
          <w:p w14:paraId="4FEE266F">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最大开启角度</w:t>
            </w:r>
          </w:p>
        </w:tc>
        <w:tc>
          <w:tcPr>
            <w:tcW w:w="1135" w:type="dxa"/>
          </w:tcPr>
          <w:p w14:paraId="7E454FB4">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4.6</w:t>
            </w:r>
          </w:p>
        </w:tc>
        <w:tc>
          <w:tcPr>
            <w:tcW w:w="2268" w:type="dxa"/>
          </w:tcPr>
          <w:p w14:paraId="440FB55C">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5.5</w:t>
            </w:r>
          </w:p>
        </w:tc>
        <w:tc>
          <w:tcPr>
            <w:tcW w:w="3118" w:type="dxa"/>
          </w:tcPr>
          <w:p w14:paraId="29AD65C3">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抽检，抽样≥3，1次/3月。</w:t>
            </w:r>
          </w:p>
        </w:tc>
      </w:tr>
      <w:tr w14:paraId="07746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0" w:type="auto"/>
          </w:tcPr>
          <w:p w14:paraId="4C7B024B">
            <w:pPr>
              <w:snapToGrid w:val="0"/>
              <w:spacing w:before="120" w:after="120"/>
              <w:jc w:val="center"/>
              <w:textAlignment w:val="center"/>
              <w:rPr>
                <w:rFonts w:asciiTheme="minorEastAsia" w:hAnsiTheme="minorEastAsia"/>
                <w:sz w:val="18"/>
                <w:szCs w:val="20"/>
              </w:rPr>
            </w:pPr>
            <w:r>
              <w:rPr>
                <w:rFonts w:asciiTheme="minorEastAsia" w:hAnsiTheme="minorEastAsia"/>
                <w:sz w:val="18"/>
                <w:szCs w:val="20"/>
              </w:rPr>
              <w:t>3</w:t>
            </w:r>
          </w:p>
        </w:tc>
        <w:tc>
          <w:tcPr>
            <w:tcW w:w="1921" w:type="dxa"/>
          </w:tcPr>
          <w:p w14:paraId="2613CD0A">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限位结构强度</w:t>
            </w:r>
          </w:p>
        </w:tc>
        <w:tc>
          <w:tcPr>
            <w:tcW w:w="1135" w:type="dxa"/>
          </w:tcPr>
          <w:p w14:paraId="60ADD1A5">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4.7</w:t>
            </w:r>
          </w:p>
        </w:tc>
        <w:tc>
          <w:tcPr>
            <w:tcW w:w="2268" w:type="dxa"/>
          </w:tcPr>
          <w:p w14:paraId="07509F0E">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5.6</w:t>
            </w:r>
          </w:p>
        </w:tc>
        <w:tc>
          <w:tcPr>
            <w:tcW w:w="3118" w:type="dxa"/>
          </w:tcPr>
          <w:p w14:paraId="3AF29615">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抽检，抽样≥3，1次/</w:t>
            </w:r>
            <w:r>
              <w:rPr>
                <w:rFonts w:asciiTheme="minorEastAsia" w:hAnsiTheme="minorEastAsia"/>
                <w:sz w:val="18"/>
                <w:szCs w:val="20"/>
              </w:rPr>
              <w:t>3</w:t>
            </w:r>
            <w:r>
              <w:rPr>
                <w:rFonts w:hint="eastAsia" w:asciiTheme="minorEastAsia" w:hAnsiTheme="minorEastAsia"/>
                <w:sz w:val="18"/>
                <w:szCs w:val="20"/>
              </w:rPr>
              <w:t>月。</w:t>
            </w:r>
          </w:p>
        </w:tc>
      </w:tr>
      <w:tr w14:paraId="64772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0" w:type="auto"/>
          </w:tcPr>
          <w:p w14:paraId="18A2916D">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4</w:t>
            </w:r>
          </w:p>
        </w:tc>
        <w:tc>
          <w:tcPr>
            <w:tcW w:w="1921" w:type="dxa"/>
          </w:tcPr>
          <w:p w14:paraId="2FB1CB0E">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落球冲击</w:t>
            </w:r>
          </w:p>
        </w:tc>
        <w:tc>
          <w:tcPr>
            <w:tcW w:w="1135" w:type="dxa"/>
          </w:tcPr>
          <w:p w14:paraId="52C7A45D">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4.8</w:t>
            </w:r>
          </w:p>
        </w:tc>
        <w:tc>
          <w:tcPr>
            <w:tcW w:w="2268" w:type="dxa"/>
          </w:tcPr>
          <w:p w14:paraId="4FF95A2D">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5.7</w:t>
            </w:r>
          </w:p>
        </w:tc>
        <w:tc>
          <w:tcPr>
            <w:tcW w:w="3118" w:type="dxa"/>
          </w:tcPr>
          <w:p w14:paraId="2C055ABF">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抽检，抽样≥3，1次/</w:t>
            </w:r>
            <w:r>
              <w:rPr>
                <w:rFonts w:asciiTheme="minorEastAsia" w:hAnsiTheme="minorEastAsia"/>
                <w:sz w:val="18"/>
                <w:szCs w:val="20"/>
              </w:rPr>
              <w:t>3</w:t>
            </w:r>
            <w:r>
              <w:rPr>
                <w:rFonts w:hint="eastAsia" w:asciiTheme="minorEastAsia" w:hAnsiTheme="minorEastAsia"/>
                <w:sz w:val="18"/>
                <w:szCs w:val="20"/>
              </w:rPr>
              <w:t>月。</w:t>
            </w:r>
          </w:p>
        </w:tc>
      </w:tr>
      <w:tr w14:paraId="2CCC5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0" w:type="auto"/>
          </w:tcPr>
          <w:p w14:paraId="4A5AA666">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5</w:t>
            </w:r>
          </w:p>
        </w:tc>
        <w:tc>
          <w:tcPr>
            <w:tcW w:w="1921" w:type="dxa"/>
          </w:tcPr>
          <w:p w14:paraId="12AE6B5A">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安全性</w:t>
            </w:r>
          </w:p>
        </w:tc>
        <w:tc>
          <w:tcPr>
            <w:tcW w:w="1135" w:type="dxa"/>
          </w:tcPr>
          <w:p w14:paraId="48591C6F">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4.9</w:t>
            </w:r>
          </w:p>
        </w:tc>
        <w:tc>
          <w:tcPr>
            <w:tcW w:w="2268" w:type="dxa"/>
          </w:tcPr>
          <w:p w14:paraId="1DA4A5C5">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5.8</w:t>
            </w:r>
          </w:p>
        </w:tc>
        <w:tc>
          <w:tcPr>
            <w:tcW w:w="3118" w:type="dxa"/>
          </w:tcPr>
          <w:p w14:paraId="50782911">
            <w:pPr>
              <w:snapToGrid w:val="0"/>
              <w:spacing w:before="120" w:after="120"/>
              <w:jc w:val="center"/>
              <w:textAlignment w:val="center"/>
              <w:rPr>
                <w:rFonts w:asciiTheme="minorEastAsia" w:hAnsiTheme="minorEastAsia"/>
                <w:sz w:val="18"/>
                <w:szCs w:val="20"/>
              </w:rPr>
            </w:pPr>
            <w:r>
              <w:rPr>
                <w:rFonts w:hint="eastAsia" w:asciiTheme="minorEastAsia" w:hAnsiTheme="minorEastAsia"/>
                <w:sz w:val="18"/>
                <w:szCs w:val="20"/>
              </w:rPr>
              <w:t>抽检，抽样≥3，1次/</w:t>
            </w:r>
            <w:r>
              <w:rPr>
                <w:rFonts w:asciiTheme="minorEastAsia" w:hAnsiTheme="minorEastAsia"/>
                <w:sz w:val="18"/>
                <w:szCs w:val="20"/>
              </w:rPr>
              <w:t>3</w:t>
            </w:r>
            <w:r>
              <w:rPr>
                <w:rFonts w:hint="eastAsia" w:asciiTheme="minorEastAsia" w:hAnsiTheme="minorEastAsia"/>
                <w:sz w:val="18"/>
                <w:szCs w:val="20"/>
              </w:rPr>
              <w:t>月。</w:t>
            </w:r>
          </w:p>
        </w:tc>
      </w:tr>
    </w:tbl>
    <w:p w14:paraId="36D94DEF">
      <w:pPr>
        <w:pStyle w:val="235"/>
        <w:numPr>
          <w:ilvl w:val="2"/>
          <w:numId w:val="2"/>
        </w:numPr>
        <w:spacing w:before="120" w:after="120"/>
      </w:pPr>
      <w:bookmarkStart w:id="96" w:name="_Ref192152198"/>
      <w:bookmarkStart w:id="97" w:name="_Toc218775664"/>
      <w:r>
        <w:rPr>
          <w:rFonts w:hint="eastAsia"/>
        </w:rPr>
        <w:t>型式检验</w:t>
      </w:r>
      <w:bookmarkEnd w:id="96"/>
      <w:bookmarkEnd w:id="97"/>
    </w:p>
    <w:p w14:paraId="498F932E">
      <w:pPr>
        <w:spacing w:before="156" w:after="156"/>
        <w:ind w:firstLine="420" w:firstLineChars="200"/>
        <w:rPr>
          <w:rFonts w:ascii="宋体" w:hAnsi="宋体"/>
        </w:rPr>
      </w:pPr>
      <w:r>
        <w:rPr>
          <w:rFonts w:hint="eastAsia" w:ascii="宋体" w:hAnsi="宋体"/>
        </w:rPr>
        <w:t>型式检验为第</w:t>
      </w:r>
      <w:r>
        <w:rPr>
          <w:rFonts w:ascii="宋体" w:hAnsi="宋体"/>
        </w:rPr>
        <w:fldChar w:fldCharType="begin"/>
      </w:r>
      <w:r>
        <w:rPr>
          <w:rFonts w:ascii="宋体" w:hAnsi="宋体"/>
        </w:rPr>
        <w:instrText xml:space="preserve"> </w:instrText>
      </w:r>
      <w:r>
        <w:rPr>
          <w:rFonts w:hint="eastAsia" w:ascii="宋体" w:hAnsi="宋体"/>
        </w:rPr>
        <w:instrText xml:space="preserve">REF _Ref192144313 \r \h</w:instrText>
      </w:r>
      <w:r>
        <w:rPr>
          <w:rFonts w:ascii="宋体" w:hAnsi="宋体"/>
        </w:rPr>
        <w:instrText xml:space="preserve">  \* MERGEFORMAT </w:instrText>
      </w:r>
      <w:r>
        <w:rPr>
          <w:rFonts w:ascii="宋体" w:hAnsi="宋体"/>
        </w:rPr>
        <w:fldChar w:fldCharType="separate"/>
      </w:r>
      <w:r>
        <w:rPr>
          <w:rFonts w:ascii="宋体" w:hAnsi="宋体"/>
        </w:rPr>
        <w:t>4</w:t>
      </w:r>
      <w:r>
        <w:rPr>
          <w:rFonts w:ascii="宋体" w:hAnsi="宋体"/>
        </w:rPr>
        <w:fldChar w:fldCharType="end"/>
      </w:r>
      <w:r>
        <w:rPr>
          <w:rFonts w:hint="eastAsia" w:ascii="宋体" w:hAnsi="宋体"/>
        </w:rPr>
        <w:t>节技术要求中的全部项目。按照G</w:t>
      </w:r>
      <w:r>
        <w:rPr>
          <w:rFonts w:ascii="宋体" w:hAnsi="宋体"/>
        </w:rPr>
        <w:t>B</w:t>
      </w:r>
      <w:r>
        <w:rPr>
          <w:rFonts w:hint="eastAsia" w:ascii="宋体" w:hAnsi="宋体"/>
        </w:rPr>
        <w:t>/</w:t>
      </w:r>
      <w:r>
        <w:rPr>
          <w:rFonts w:ascii="宋体" w:hAnsi="宋体"/>
        </w:rPr>
        <w:t>T 2829</w:t>
      </w:r>
      <w:r>
        <w:rPr>
          <w:rFonts w:hint="eastAsia" w:ascii="宋体" w:hAnsi="宋体"/>
        </w:rPr>
        <w:t>判别水平为I的一次抽样方案执行，R</w:t>
      </w:r>
      <w:r>
        <w:rPr>
          <w:rFonts w:ascii="宋体" w:hAnsi="宋体"/>
        </w:rPr>
        <w:t>QL</w:t>
      </w:r>
      <w:r>
        <w:rPr>
          <w:rFonts w:hint="eastAsia" w:ascii="宋体" w:hAnsi="宋体"/>
        </w:rPr>
        <w:t>=</w:t>
      </w:r>
      <w:r>
        <w:rPr>
          <w:rFonts w:ascii="宋体" w:hAnsi="宋体"/>
        </w:rPr>
        <w:t>30</w:t>
      </w:r>
      <w:r>
        <w:rPr>
          <w:rFonts w:hint="eastAsia" w:ascii="宋体" w:hAnsi="宋体"/>
        </w:rPr>
        <w:t>。</w:t>
      </w:r>
    </w:p>
    <w:p w14:paraId="240E1EE2">
      <w:pPr>
        <w:spacing w:before="156" w:after="156"/>
        <w:ind w:firstLine="420" w:firstLineChars="200"/>
        <w:rPr>
          <w:rFonts w:ascii="黑体" w:hAnsi="黑体" w:eastAsia="黑体"/>
        </w:rPr>
      </w:pPr>
      <w:r>
        <w:rPr>
          <w:rFonts w:hint="eastAsia" w:ascii="宋体" w:hAnsi="宋体"/>
        </w:rPr>
        <w:t>型式检验中,如有任何一台样品不符合本标准中的任一条要求时,则应从该批产品中抽取加倍数量的样品，进行不合格条及与该条试验结果有关条文要求的重复试验；重复试验合格,则判该批产品符合本标准要求；如重复试验仍有任何一台样品不符合任一条的要求时,则判该批产品不合格。</w:t>
      </w:r>
    </w:p>
    <w:p w14:paraId="4CC38F67">
      <w:pPr>
        <w:spacing w:before="156" w:after="156"/>
        <w:ind w:firstLine="420"/>
        <w:rPr>
          <w:rFonts w:ascii="宋体" w:hAnsi="宋体"/>
        </w:rPr>
      </w:pPr>
      <w:r>
        <w:rPr>
          <w:rFonts w:hint="eastAsia" w:ascii="宋体" w:hAnsi="宋体"/>
        </w:rPr>
        <w:t>有下列情况之一时，应进行型式检验：</w:t>
      </w:r>
    </w:p>
    <w:p w14:paraId="05615151">
      <w:pPr>
        <w:pStyle w:val="230"/>
        <w:numPr>
          <w:ilvl w:val="0"/>
          <w:numId w:val="35"/>
        </w:numPr>
        <w:adjustRightInd/>
        <w:spacing w:before="156" w:after="120" w:line="240" w:lineRule="auto"/>
        <w:ind w:firstLineChars="0"/>
        <w:rPr>
          <w:rFonts w:ascii="宋体" w:hAnsi="宋体"/>
        </w:rPr>
      </w:pPr>
      <w:r>
        <w:rPr>
          <w:rFonts w:hint="eastAsia" w:ascii="宋体" w:hAnsi="宋体"/>
        </w:rPr>
        <w:t>新开供应商时；</w:t>
      </w:r>
    </w:p>
    <w:p w14:paraId="01793D50">
      <w:pPr>
        <w:pStyle w:val="230"/>
        <w:numPr>
          <w:ilvl w:val="0"/>
          <w:numId w:val="35"/>
        </w:numPr>
        <w:adjustRightInd/>
        <w:spacing w:before="156" w:after="120" w:line="240" w:lineRule="auto"/>
        <w:ind w:firstLineChars="0"/>
        <w:rPr>
          <w:rFonts w:ascii="宋体" w:hAnsi="宋体"/>
        </w:rPr>
      </w:pPr>
      <w:r>
        <w:rPr>
          <w:rFonts w:hint="eastAsia" w:ascii="宋体" w:hAnsi="宋体"/>
        </w:rPr>
        <w:t>正常生产采购过程，如材料、工艺有较大改变，可能影响产品性能时；</w:t>
      </w:r>
    </w:p>
    <w:p w14:paraId="2331D1F9">
      <w:pPr>
        <w:pStyle w:val="230"/>
        <w:numPr>
          <w:ilvl w:val="0"/>
          <w:numId w:val="35"/>
        </w:numPr>
        <w:adjustRightInd/>
        <w:spacing w:before="156" w:after="120" w:line="240" w:lineRule="auto"/>
        <w:ind w:firstLineChars="0"/>
        <w:rPr>
          <w:rFonts w:ascii="宋体" w:hAnsi="宋体"/>
        </w:rPr>
      </w:pPr>
      <w:r>
        <w:rPr>
          <w:rFonts w:hint="eastAsia" w:ascii="宋体" w:hAnsi="宋体"/>
        </w:rPr>
        <w:t>正常生产采购时，每年至少一次；</w:t>
      </w:r>
    </w:p>
    <w:p w14:paraId="495101DE">
      <w:pPr>
        <w:pStyle w:val="230"/>
        <w:numPr>
          <w:ilvl w:val="0"/>
          <w:numId w:val="35"/>
        </w:numPr>
        <w:adjustRightInd/>
        <w:spacing w:before="156" w:after="120" w:line="240" w:lineRule="auto"/>
        <w:ind w:firstLineChars="0"/>
        <w:rPr>
          <w:rFonts w:ascii="宋体" w:hAnsi="宋体"/>
        </w:rPr>
      </w:pPr>
      <w:r>
        <w:rPr>
          <w:rFonts w:hint="eastAsia" w:ascii="宋体" w:hAnsi="宋体"/>
        </w:rPr>
        <w:t>供应商停供半年以上，恢复供货生产时；</w:t>
      </w:r>
    </w:p>
    <w:p w14:paraId="43C180C5">
      <w:pPr>
        <w:pStyle w:val="230"/>
        <w:numPr>
          <w:ilvl w:val="0"/>
          <w:numId w:val="35"/>
        </w:numPr>
        <w:adjustRightInd/>
        <w:spacing w:before="156" w:after="120" w:line="240" w:lineRule="auto"/>
        <w:ind w:firstLineChars="0"/>
        <w:rPr>
          <w:rFonts w:ascii="宋体" w:hAnsi="宋体"/>
        </w:rPr>
      </w:pPr>
      <w:r>
        <w:rPr>
          <w:rFonts w:hint="eastAsia" w:ascii="宋体" w:hAnsi="宋体"/>
        </w:rPr>
        <w:t>进检验结果与上次型式检验有较大差异时；</w:t>
      </w:r>
    </w:p>
    <w:p w14:paraId="7175E2ED">
      <w:pPr>
        <w:pStyle w:val="230"/>
        <w:numPr>
          <w:ilvl w:val="0"/>
          <w:numId w:val="35"/>
        </w:numPr>
        <w:adjustRightInd/>
        <w:spacing w:before="156" w:after="120" w:line="240" w:lineRule="auto"/>
        <w:ind w:firstLineChars="0"/>
        <w:rPr>
          <w:rFonts w:ascii="宋体" w:hAnsi="宋体"/>
        </w:rPr>
      </w:pPr>
      <w:r>
        <w:rPr>
          <w:rFonts w:hint="eastAsia" w:ascii="宋体" w:hAnsi="宋体"/>
        </w:rPr>
        <w:t>质量相关部门认为有必要时。</w:t>
      </w:r>
    </w:p>
    <w:p w14:paraId="528F8460">
      <w:pPr>
        <w:pStyle w:val="231"/>
        <w:numPr>
          <w:ilvl w:val="1"/>
          <w:numId w:val="2"/>
        </w:numPr>
        <w:spacing w:before="240" w:after="240"/>
      </w:pPr>
      <w:bookmarkStart w:id="98" w:name="_Toc218850319"/>
      <w:bookmarkStart w:id="99" w:name="_Toc218775665"/>
      <w:r>
        <w:t>包装、运输和</w:t>
      </w:r>
      <w:r>
        <w:rPr>
          <w:rFonts w:hint="eastAsia"/>
        </w:rPr>
        <w:t>贮存</w:t>
      </w:r>
      <w:bookmarkEnd w:id="98"/>
      <w:bookmarkEnd w:id="99"/>
    </w:p>
    <w:p w14:paraId="66D62E77">
      <w:pPr>
        <w:pStyle w:val="238"/>
        <w:numPr>
          <w:ilvl w:val="0"/>
          <w:numId w:val="0"/>
        </w:numPr>
        <w:spacing w:before="120" w:after="120"/>
        <w:rPr>
          <w:rFonts w:ascii="宋体" w:hAnsi="宋体" w:eastAsia="宋体"/>
          <w:color w:val="000000" w:themeColor="text1"/>
          <w14:textFill>
            <w14:solidFill>
              <w14:schemeClr w14:val="tx1"/>
            </w14:solidFill>
          </w14:textFill>
        </w:rPr>
      </w:pPr>
      <w:r>
        <w:rPr>
          <w:rFonts w:hint="eastAsia" w:ascii="宋体" w:hAnsi="宋体" w:eastAsia="宋体" w:cs="Times New Roman"/>
        </w:rPr>
        <w:t>7.1</w:t>
      </w:r>
      <w:r>
        <w:rPr>
          <w:rFonts w:hint="eastAsia" w:ascii="宋体" w:hAnsi="宋体" w:eastAsia="宋体" w:cs="Times New Roman"/>
          <w:color w:val="000000" w:themeColor="text1"/>
          <w14:textFill>
            <w14:solidFill>
              <w14:schemeClr w14:val="tx1"/>
            </w14:solidFill>
          </w14:textFill>
        </w:rPr>
        <w:t>每批产品应附有质量合格证明，并注明：产品</w:t>
      </w:r>
      <w:bookmarkStart w:id="104" w:name="_GoBack"/>
      <w:r>
        <w:rPr>
          <w:rFonts w:hint="eastAsia" w:ascii="宋体" w:hAnsi="宋体" w:eastAsia="宋体" w:cs="Times New Roman"/>
          <w:color w:val="000000" w:themeColor="text1"/>
          <w14:textFill>
            <w14:solidFill>
              <w14:schemeClr w14:val="tx1"/>
            </w14:solidFill>
          </w14:textFill>
        </w:rPr>
        <w:t>名</w:t>
      </w:r>
      <w:bookmarkEnd w:id="104"/>
      <w:r>
        <w:rPr>
          <w:rFonts w:hint="eastAsia" w:ascii="宋体" w:hAnsi="宋体" w:eastAsia="宋体" w:cs="Times New Roman"/>
          <w:color w:val="000000" w:themeColor="text1"/>
          <w14:textFill>
            <w14:solidFill>
              <w14:schemeClr w14:val="tx1"/>
            </w14:solidFill>
          </w14:textFill>
        </w:rPr>
        <w:t>称、生产厂名称、生产日期、批号、产品净重等必要信息</w:t>
      </w:r>
      <w:r>
        <w:rPr>
          <w:rFonts w:hint="eastAsia" w:ascii="宋体" w:hAnsi="宋体" w:eastAsia="宋体"/>
          <w:color w:val="000000" w:themeColor="text1"/>
          <w14:textFill>
            <w14:solidFill>
              <w14:schemeClr w14:val="tx1"/>
            </w14:solidFill>
          </w14:textFill>
        </w:rPr>
        <w:t>。</w:t>
      </w:r>
    </w:p>
    <w:p w14:paraId="41C17208">
      <w:pPr>
        <w:rPr>
          <w:rFonts w:ascii="宋体" w:hAnsi="宋体"/>
          <w:color w:val="000000" w:themeColor="text1"/>
          <w14:textFill>
            <w14:solidFill>
              <w14:schemeClr w14:val="tx1"/>
            </w14:solidFill>
          </w14:textFill>
        </w:rPr>
      </w:pPr>
      <w:r>
        <w:rPr>
          <w:rFonts w:hint="eastAsia" w:ascii="宋体" w:hAnsi="宋体"/>
          <w:color w:val="000000" w:themeColor="text1"/>
          <w:kern w:val="0"/>
          <w14:textFill>
            <w14:solidFill>
              <w14:schemeClr w14:val="tx1"/>
            </w14:solidFill>
          </w14:textFill>
        </w:rPr>
        <w:t>7.2</w:t>
      </w:r>
      <w:r>
        <w:rPr>
          <w:rFonts w:hint="eastAsia" w:ascii="宋体" w:hAnsi="宋体"/>
          <w:color w:val="000000" w:themeColor="text1"/>
          <w14:textFill>
            <w14:solidFill>
              <w14:schemeClr w14:val="tx1"/>
            </w14:solidFill>
          </w14:textFill>
        </w:rPr>
        <w:t>脚踏开门器应做好隔离与防护，防止碰撞划伤，外箱用纸箱或木箱。运输过程中应避免雨淋和撞击，防止腐蚀和变形。贮存时应保持室内通风、干燥，并避免腐蚀性介质的侵蚀。</w:t>
      </w:r>
    </w:p>
    <w:p w14:paraId="35407ED7">
      <w:pPr>
        <w:rPr>
          <w:rFonts w:ascii="宋体" w:hAnsi="宋体"/>
        </w:rPr>
      </w:pPr>
    </w:p>
    <w:p w14:paraId="064EC118">
      <w:pPr>
        <w:rPr>
          <w:rFonts w:ascii="宋体" w:hAnsi="宋体"/>
        </w:rPr>
      </w:pPr>
    </w:p>
    <w:p w14:paraId="16527808">
      <w:pPr>
        <w:rPr>
          <w:rFonts w:ascii="宋体" w:hAnsi="宋体"/>
        </w:rPr>
      </w:pPr>
    </w:p>
    <w:p w14:paraId="74D39B3A">
      <w:pPr>
        <w:rPr>
          <w:rFonts w:ascii="宋体" w:hAnsi="宋体"/>
        </w:rPr>
      </w:pPr>
    </w:p>
    <w:p w14:paraId="74F6F57B">
      <w:pPr>
        <w:rPr>
          <w:rFonts w:ascii="宋体" w:hAnsi="宋体"/>
        </w:rPr>
      </w:pPr>
    </w:p>
    <w:p w14:paraId="413461CD">
      <w:pPr>
        <w:rPr>
          <w:rFonts w:ascii="宋体" w:hAnsi="宋体"/>
        </w:rPr>
      </w:pPr>
    </w:p>
    <w:p w14:paraId="1198C187">
      <w:pPr>
        <w:rPr>
          <w:rFonts w:ascii="宋体" w:hAnsi="宋体"/>
        </w:rPr>
      </w:pPr>
    </w:p>
    <w:p w14:paraId="2C451988">
      <w:pPr>
        <w:rPr>
          <w:rFonts w:ascii="宋体" w:hAnsi="宋体"/>
        </w:rPr>
      </w:pPr>
    </w:p>
    <w:p w14:paraId="71F146CD">
      <w:pPr>
        <w:rPr>
          <w:rFonts w:ascii="宋体" w:hAnsi="宋体"/>
        </w:rPr>
      </w:pPr>
    </w:p>
    <w:p w14:paraId="503622DA">
      <w:pPr>
        <w:rPr>
          <w:rFonts w:ascii="宋体" w:hAnsi="宋体"/>
        </w:rPr>
      </w:pPr>
    </w:p>
    <w:p w14:paraId="47E3F31D">
      <w:pPr>
        <w:rPr>
          <w:rFonts w:ascii="宋体" w:hAnsi="宋体"/>
        </w:rPr>
      </w:pPr>
    </w:p>
    <w:p w14:paraId="0EF28B49">
      <w:pPr>
        <w:rPr>
          <w:rFonts w:ascii="宋体" w:hAnsi="宋体"/>
        </w:rPr>
      </w:pPr>
    </w:p>
    <w:p w14:paraId="09D62AA4">
      <w:pPr>
        <w:rPr>
          <w:rFonts w:ascii="宋体" w:hAnsi="宋体"/>
        </w:rPr>
      </w:pPr>
    </w:p>
    <w:p w14:paraId="782E951D">
      <w:pPr>
        <w:rPr>
          <w:rFonts w:ascii="宋体" w:hAnsi="宋体"/>
        </w:rPr>
      </w:pPr>
    </w:p>
    <w:p w14:paraId="2E1B7AF0">
      <w:pPr>
        <w:rPr>
          <w:rFonts w:ascii="宋体" w:hAnsi="宋体"/>
        </w:rPr>
      </w:pPr>
    </w:p>
    <w:p w14:paraId="5AE7617C">
      <w:pPr>
        <w:rPr>
          <w:rFonts w:ascii="宋体" w:hAnsi="宋体"/>
        </w:rPr>
      </w:pPr>
    </w:p>
    <w:p w14:paraId="7993BA92">
      <w:pPr>
        <w:pStyle w:val="76"/>
        <w:spacing w:after="120"/>
      </w:pPr>
      <w:r>
        <w:br w:type="textWrapping"/>
      </w:r>
      <w:bookmarkStart w:id="100" w:name="_Toc170994753"/>
      <w:bookmarkStart w:id="101" w:name="_Toc218850320"/>
      <w:r>
        <w:rPr>
          <w:rFonts w:hint="eastAsia"/>
        </w:rPr>
        <w:t>（资料性）</w:t>
      </w:r>
      <w:bookmarkEnd w:id="100"/>
      <w:bookmarkEnd w:id="101"/>
    </w:p>
    <w:p w14:paraId="33695BCA">
      <w:pPr>
        <w:pStyle w:val="208"/>
        <w:rPr>
          <w:szCs w:val="22"/>
        </w:rPr>
      </w:pPr>
      <w:r>
        <w:drawing>
          <wp:inline distT="0" distB="0" distL="0" distR="0">
            <wp:extent cx="1441450" cy="2243455"/>
            <wp:effectExtent l="0" t="0" r="6350"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9"/>
                    <a:stretch>
                      <a:fillRect/>
                    </a:stretch>
                  </pic:blipFill>
                  <pic:spPr>
                    <a:xfrm>
                      <a:off x="0" y="0"/>
                      <a:ext cx="1446849" cy="2252312"/>
                    </a:xfrm>
                    <a:prstGeom prst="rect">
                      <a:avLst/>
                    </a:prstGeom>
                  </pic:spPr>
                </pic:pic>
              </a:graphicData>
            </a:graphic>
          </wp:inline>
        </w:drawing>
      </w:r>
      <w:r>
        <w:rPr>
          <w:rFonts w:hint="eastAsia"/>
          <w:szCs w:val="22"/>
        </w:rPr>
        <w:t xml:space="preserve"> </w:t>
      </w:r>
      <w:r>
        <w:drawing>
          <wp:inline distT="0" distB="0" distL="0" distR="0">
            <wp:extent cx="2108200" cy="2245360"/>
            <wp:effectExtent l="0" t="0" r="6350"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0"/>
                    <a:stretch>
                      <a:fillRect/>
                    </a:stretch>
                  </pic:blipFill>
                  <pic:spPr>
                    <a:xfrm>
                      <a:off x="0" y="0"/>
                      <a:ext cx="2114684" cy="2252347"/>
                    </a:xfrm>
                    <a:prstGeom prst="rect">
                      <a:avLst/>
                    </a:prstGeom>
                  </pic:spPr>
                </pic:pic>
              </a:graphicData>
            </a:graphic>
          </wp:inline>
        </w:drawing>
      </w:r>
      <w:r>
        <w:rPr>
          <w:szCs w:val="22"/>
        </w:rPr>
        <w:t xml:space="preserve"> </w:t>
      </w:r>
      <w:r>
        <w:drawing>
          <wp:inline distT="0" distB="0" distL="0" distR="0">
            <wp:extent cx="1536700" cy="2237105"/>
            <wp:effectExtent l="0" t="0" r="635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1"/>
                    <a:stretch>
                      <a:fillRect/>
                    </a:stretch>
                  </pic:blipFill>
                  <pic:spPr>
                    <a:xfrm>
                      <a:off x="0" y="0"/>
                      <a:ext cx="1544872" cy="2249060"/>
                    </a:xfrm>
                    <a:prstGeom prst="rect">
                      <a:avLst/>
                    </a:prstGeom>
                  </pic:spPr>
                </pic:pic>
              </a:graphicData>
            </a:graphic>
          </wp:inline>
        </w:drawing>
      </w:r>
    </w:p>
    <w:p w14:paraId="6BF32BD2">
      <w:pPr>
        <w:spacing w:before="156" w:after="156"/>
        <w:rPr>
          <w:rFonts w:ascii="宋体" w:hAnsi="宋体"/>
          <w:sz w:val="20"/>
          <w:szCs w:val="20"/>
        </w:rPr>
      </w:pPr>
      <w:r>
        <w:rPr>
          <w:rFonts w:hint="eastAsia" w:ascii="宋体" w:hAnsi="宋体"/>
          <w:sz w:val="20"/>
          <w:szCs w:val="20"/>
        </w:rPr>
        <w:t xml:space="preserve">                    正视               </w:t>
      </w:r>
      <w:r>
        <w:rPr>
          <w:rFonts w:ascii="宋体" w:hAnsi="宋体"/>
          <w:sz w:val="20"/>
          <w:szCs w:val="20"/>
        </w:rPr>
        <w:t xml:space="preserve">   </w:t>
      </w:r>
      <w:r>
        <w:rPr>
          <w:rFonts w:hint="eastAsia" w:ascii="宋体" w:hAnsi="宋体"/>
          <w:sz w:val="20"/>
          <w:szCs w:val="20"/>
        </w:rPr>
        <w:t xml:space="preserve">     侧视                           仰视</w:t>
      </w:r>
    </w:p>
    <w:p w14:paraId="6AE51684">
      <w:pPr>
        <w:spacing w:before="156" w:after="156"/>
        <w:jc w:val="center"/>
        <w:rPr>
          <w:rFonts w:ascii="宋体" w:hAnsi="宋体"/>
          <w:sz w:val="20"/>
        </w:rPr>
      </w:pPr>
      <w:r>
        <w:rPr>
          <w:rFonts w:hint="eastAsia" w:ascii="宋体" w:hAnsi="宋体"/>
          <w:sz w:val="20"/>
          <w:szCs w:val="20"/>
        </w:rPr>
        <w:t>图4</w:t>
      </w:r>
      <w:r>
        <w:rPr>
          <w:rFonts w:ascii="宋体" w:hAnsi="宋体"/>
          <w:sz w:val="20"/>
          <w:szCs w:val="20"/>
        </w:rPr>
        <w:t xml:space="preserve"> </w:t>
      </w:r>
      <w:r>
        <w:rPr>
          <w:rFonts w:hint="eastAsia" w:ascii="宋体" w:hAnsi="宋体"/>
          <w:sz w:val="20"/>
          <w:szCs w:val="20"/>
        </w:rPr>
        <w:t>脚踏开门器图</w:t>
      </w:r>
    </w:p>
    <w:p w14:paraId="719DB046">
      <w:pPr>
        <w:pStyle w:val="183"/>
        <w:numPr>
          <w:ilvl w:val="0"/>
          <w:numId w:val="0"/>
        </w:numPr>
        <w:ind w:left="363"/>
        <w:jc w:val="center"/>
        <w:rPr>
          <w:szCs w:val="22"/>
        </w:rPr>
      </w:pPr>
      <w:r>
        <w:drawing>
          <wp:inline distT="0" distB="0" distL="0" distR="0">
            <wp:extent cx="3575050" cy="2374265"/>
            <wp:effectExtent l="0" t="0" r="635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2"/>
                    <a:stretch>
                      <a:fillRect/>
                    </a:stretch>
                  </pic:blipFill>
                  <pic:spPr>
                    <a:xfrm>
                      <a:off x="0" y="0"/>
                      <a:ext cx="3597546" cy="2389518"/>
                    </a:xfrm>
                    <a:prstGeom prst="rect">
                      <a:avLst/>
                    </a:prstGeom>
                  </pic:spPr>
                </pic:pic>
              </a:graphicData>
            </a:graphic>
          </wp:inline>
        </w:drawing>
      </w:r>
    </w:p>
    <w:p w14:paraId="4980640A">
      <w:pPr>
        <w:spacing w:before="156" w:after="156"/>
        <w:jc w:val="center"/>
        <w:rPr>
          <w:rFonts w:ascii="宋体" w:hAnsi="宋体"/>
          <w:sz w:val="20"/>
          <w:szCs w:val="20"/>
        </w:rPr>
      </w:pPr>
      <w:r>
        <w:rPr>
          <w:rFonts w:hint="eastAsia" w:ascii="宋体" w:hAnsi="宋体"/>
          <w:sz w:val="20"/>
          <w:szCs w:val="20"/>
        </w:rPr>
        <w:t>图5</w:t>
      </w:r>
      <w:r>
        <w:rPr>
          <w:rFonts w:ascii="宋体" w:hAnsi="宋体"/>
          <w:sz w:val="20"/>
          <w:szCs w:val="20"/>
        </w:rPr>
        <w:t xml:space="preserve"> </w:t>
      </w:r>
      <w:r>
        <w:rPr>
          <w:rFonts w:hint="eastAsia" w:ascii="宋体" w:hAnsi="宋体"/>
          <w:sz w:val="20"/>
          <w:szCs w:val="20"/>
        </w:rPr>
        <w:t>脚踏开门器结构图</w:t>
      </w:r>
    </w:p>
    <w:bookmarkEnd w:id="25"/>
    <w:p w14:paraId="57FA3FB3">
      <w:pPr>
        <w:pStyle w:val="198"/>
        <w:rPr>
          <w:vanish w:val="0"/>
        </w:rPr>
      </w:pPr>
      <w:bookmarkStart w:id="102" w:name="BookMark5"/>
    </w:p>
    <w:p w14:paraId="366A9EEE">
      <w:pPr>
        <w:pStyle w:val="199"/>
        <w:rPr>
          <w:vanish w:val="0"/>
        </w:rPr>
      </w:pPr>
    </w:p>
    <w:p w14:paraId="335FCF54">
      <w:pPr>
        <w:sectPr>
          <w:pgSz w:w="11906" w:h="16838"/>
          <w:pgMar w:top="1928" w:right="1134" w:bottom="1134" w:left="1134" w:header="1418" w:footer="1134" w:gutter="284"/>
          <w:cols w:space="425" w:num="1"/>
          <w:formProt w:val="0"/>
          <w:docGrid w:linePitch="312" w:charSpace="0"/>
        </w:sectPr>
      </w:pPr>
    </w:p>
    <w:p w14:paraId="7DA18C33">
      <w:pPr>
        <w:pStyle w:val="198"/>
        <w:rPr>
          <w:vanish w:val="0"/>
        </w:rPr>
      </w:pPr>
    </w:p>
    <w:p w14:paraId="398C73B1">
      <w:pPr>
        <w:pStyle w:val="199"/>
        <w:rPr>
          <w:vanish w:val="0"/>
        </w:rPr>
      </w:pPr>
    </w:p>
    <w:p w14:paraId="5C3F2E2F">
      <w:pPr>
        <w:pStyle w:val="76"/>
        <w:numPr>
          <w:ilvl w:val="0"/>
          <w:numId w:val="0"/>
        </w:numPr>
        <w:spacing w:after="120"/>
      </w:pPr>
      <w:bookmarkStart w:id="103" w:name="_Toc218850321"/>
      <w:r>
        <w:rPr>
          <w:rFonts w:hint="eastAsia"/>
        </w:rPr>
        <w:t>参考文献</w:t>
      </w:r>
      <w:bookmarkEnd w:id="103"/>
    </w:p>
    <w:p w14:paraId="7EDB9597">
      <w:pPr>
        <w:pStyle w:val="233"/>
        <w:ind w:firstLine="0" w:firstLineChars="0"/>
      </w:pPr>
      <w:r>
        <w:rPr>
          <w:rFonts w:hint="eastAsia"/>
        </w:rPr>
        <w:t>[1</w:t>
      </w:r>
      <w:r>
        <w:t xml:space="preserve">] </w:t>
      </w:r>
      <w:r>
        <w:rPr>
          <w:rFonts w:hint="eastAsia"/>
        </w:rPr>
        <w:t>GB/T 7311</w:t>
      </w:r>
      <w:r>
        <w:t xml:space="preserve">  </w:t>
      </w:r>
      <w:r>
        <w:rPr>
          <w:rFonts w:hint="eastAsia"/>
        </w:rPr>
        <w:t>包装机械分类与型号编制方法</w:t>
      </w:r>
    </w:p>
    <w:p w14:paraId="4906BDDD">
      <w:pPr>
        <w:pStyle w:val="233"/>
        <w:ind w:firstLine="0" w:firstLineChars="0"/>
      </w:pPr>
      <w:r>
        <w:rPr>
          <w:rFonts w:hint="eastAsia"/>
        </w:rPr>
        <w:t>[2</w:t>
      </w:r>
      <w:r>
        <w:t xml:space="preserve">] </w:t>
      </w:r>
      <w:r>
        <w:rPr>
          <w:rFonts w:hint="eastAsia"/>
        </w:rPr>
        <w:t>GB 16798</w:t>
      </w:r>
      <w:r>
        <w:t xml:space="preserve">  </w:t>
      </w:r>
      <w:r>
        <w:rPr>
          <w:rFonts w:hint="eastAsia"/>
        </w:rPr>
        <w:t>食品机械安全要求</w:t>
      </w:r>
    </w:p>
    <w:p w14:paraId="22AE9271">
      <w:pPr>
        <w:pStyle w:val="233"/>
        <w:ind w:firstLine="0" w:firstLineChars="0"/>
      </w:pPr>
      <w:r>
        <w:rPr>
          <w:rFonts w:hint="eastAsia"/>
        </w:rPr>
        <w:t>[3</w:t>
      </w:r>
      <w:r>
        <w:t xml:space="preserve">] </w:t>
      </w:r>
      <w:r>
        <w:rPr>
          <w:rFonts w:hint="eastAsia"/>
        </w:rPr>
        <w:t>GB/T 2828.1  计数抽样检验程序  第一部分：按接收质量限(AQL)检索的逐批检验抽样计划</w:t>
      </w:r>
    </w:p>
    <w:p w14:paraId="1E34B3A6">
      <w:pPr>
        <w:pStyle w:val="233"/>
        <w:ind w:firstLine="0" w:firstLineChars="0"/>
      </w:pPr>
      <w:r>
        <w:rPr>
          <w:rFonts w:hint="eastAsia"/>
        </w:rPr>
        <w:t>[4</w:t>
      </w:r>
      <w:r>
        <w:t xml:space="preserve">] </w:t>
      </w:r>
      <w:r>
        <w:rPr>
          <w:rFonts w:hint="eastAsia"/>
        </w:rPr>
        <w:t>GB/T 2829  周期检验计数抽样程序及表(适用于对过程稳定性的检验)</w:t>
      </w:r>
    </w:p>
    <w:p w14:paraId="66DC9C6D">
      <w:pPr>
        <w:pStyle w:val="56"/>
        <w:ind w:firstLine="0" w:firstLineChars="0"/>
        <w:rPr>
          <w:rFonts w:ascii="Times New Roman" w:cs="Calibri"/>
          <w:kern w:val="2"/>
          <w:szCs w:val="21"/>
        </w:rPr>
      </w:pPr>
      <w:r>
        <w:rPr>
          <w:rFonts w:hint="eastAsia" w:ascii="Times New Roman" w:cs="Calibri"/>
          <w:kern w:val="2"/>
          <w:szCs w:val="21"/>
        </w:rPr>
        <w:t>[5</w:t>
      </w:r>
      <w:r>
        <w:rPr>
          <w:rFonts w:ascii="Times New Roman" w:cs="Calibri"/>
          <w:kern w:val="2"/>
          <w:szCs w:val="21"/>
        </w:rPr>
        <w:t xml:space="preserve">] </w:t>
      </w:r>
      <w:r>
        <w:rPr>
          <w:rFonts w:hint="eastAsia" w:ascii="Times New Roman" w:cs="Calibri"/>
          <w:kern w:val="2"/>
          <w:szCs w:val="21"/>
        </w:rPr>
        <w:t>UL 250 家用冷藏箱和冷冻箱</w:t>
      </w:r>
    </w:p>
    <w:p w14:paraId="3869F97C">
      <w:pPr>
        <w:pStyle w:val="56"/>
        <w:ind w:firstLine="0" w:firstLineChars="0"/>
        <w:rPr>
          <w:rFonts w:ascii="Times New Roman" w:cs="Calibri"/>
          <w:kern w:val="2"/>
          <w:szCs w:val="21"/>
        </w:rPr>
      </w:pPr>
      <w:r>
        <w:rPr>
          <w:rFonts w:hint="eastAsia" w:ascii="Times New Roman" w:cs="Calibri"/>
          <w:kern w:val="2"/>
          <w:szCs w:val="21"/>
        </w:rPr>
        <w:t>[6</w:t>
      </w:r>
      <w:r>
        <w:rPr>
          <w:rFonts w:ascii="Times New Roman" w:cs="Calibri"/>
          <w:kern w:val="2"/>
          <w:szCs w:val="21"/>
        </w:rPr>
        <w:t xml:space="preserve">] </w:t>
      </w:r>
      <w:r>
        <w:rPr>
          <w:rFonts w:hint="eastAsia" w:ascii="Times New Roman" w:cs="Calibri"/>
          <w:kern w:val="2"/>
          <w:szCs w:val="21"/>
        </w:rPr>
        <w:t>IEC 60335-2-24 家用制冷器具国际安全标准</w:t>
      </w:r>
    </w:p>
    <w:p w14:paraId="5494D580">
      <w:pPr>
        <w:pStyle w:val="233"/>
        <w:ind w:firstLine="0" w:firstLineChars="0"/>
      </w:pPr>
      <w:r>
        <w:rPr>
          <w:rFonts w:hint="eastAsia"/>
        </w:rPr>
        <w:t>[7</w:t>
      </w:r>
      <w:r>
        <w:t>]</w:t>
      </w:r>
      <w:r>
        <w:rPr>
          <w:rFonts w:hint="eastAsia"/>
        </w:rPr>
        <w:t>GB/T 4955 金属覆盖层  覆盖层厚度测量  阳极溶解库仑法</w:t>
      </w:r>
    </w:p>
    <w:p w14:paraId="6CCF65F7">
      <w:pPr>
        <w:pStyle w:val="233"/>
        <w:ind w:firstLine="0" w:firstLineChars="0"/>
      </w:pPr>
      <w:r>
        <w:rPr>
          <w:rFonts w:hint="eastAsia"/>
        </w:rPr>
        <w:t>[8</w:t>
      </w:r>
      <w:r>
        <w:t>]</w:t>
      </w:r>
      <w:r>
        <w:rPr>
          <w:rFonts w:hint="eastAsia"/>
        </w:rPr>
        <w:t>GB/T 5270 金属基体上的金属覆盖层 电沉积和化学沉积层 附着强度试验方法评述</w:t>
      </w:r>
    </w:p>
    <w:p w14:paraId="6B87A618">
      <w:pPr>
        <w:pStyle w:val="233"/>
        <w:ind w:firstLine="0" w:firstLineChars="0"/>
      </w:pPr>
      <w:r>
        <w:rPr>
          <w:rFonts w:hint="eastAsia"/>
        </w:rPr>
        <w:t>[9</w:t>
      </w:r>
      <w:r>
        <w:t>]</w:t>
      </w:r>
      <w:r>
        <w:rPr>
          <w:rFonts w:hint="eastAsia"/>
        </w:rPr>
        <w:t>GB/T 13821  锌合金压铸件</w:t>
      </w:r>
    </w:p>
    <w:p w14:paraId="4DFBE02D">
      <w:pPr>
        <w:pStyle w:val="233"/>
        <w:ind w:firstLine="0" w:firstLineChars="0"/>
      </w:pPr>
      <w:r>
        <w:rPr>
          <w:rFonts w:hint="eastAsia"/>
        </w:rPr>
        <w:t>[10</w:t>
      </w:r>
      <w:r>
        <w:t>]</w:t>
      </w:r>
      <w:r>
        <w:rPr>
          <w:rFonts w:hint="eastAsia"/>
        </w:rPr>
        <w:t>GB/T 15114  铝合金压铸件</w:t>
      </w:r>
    </w:p>
    <w:p w14:paraId="52D4091F">
      <w:pPr>
        <w:pStyle w:val="56"/>
        <w:ind w:firstLine="0" w:firstLineChars="0"/>
        <w:rPr>
          <w:rFonts w:ascii="Times New Roman" w:cs="Calibri"/>
          <w:kern w:val="2"/>
          <w:szCs w:val="21"/>
        </w:rPr>
      </w:pPr>
    </w:p>
    <w:bookmarkEnd w:id="102"/>
    <w:p w14:paraId="2B6EBDE2">
      <w:pPr>
        <w:pStyle w:val="56"/>
        <w:ind w:firstLine="0" w:firstLineChars="0"/>
        <w:jc w:val="center"/>
      </w:pPr>
    </w:p>
    <w:sectPr>
      <w:pgSz w:w="11906" w:h="16838"/>
      <w:pgMar w:top="1928" w:right="1134" w:bottom="1134" w:left="1134" w:header="1418" w:footer="1134" w:gutter="284"/>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A191DF">
    <w:pPr>
      <w:pStyle w:val="17"/>
    </w:pPr>
    <w:r>
      <w:fldChar w:fldCharType="begin"/>
    </w:r>
    <w:r>
      <w:instrText xml:space="preserve">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5A4F27">
    <w:pPr>
      <w:pStyle w:val="17"/>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563A11">
    <w:pPr>
      <w:pStyle w:val="52"/>
    </w:pPr>
    <w:r>
      <w:fldChar w:fldCharType="begin"/>
    </w:r>
    <w:r>
      <w:instrText xml:space="preserve">PAGE   \* MERGEFORMAT</w:instrText>
    </w:r>
    <w:r>
      <w:fldChar w:fldCharType="separate"/>
    </w:r>
    <w:r>
      <w:rPr>
        <w:lang w:val="zh-CN"/>
      </w:rPr>
      <w:t>8</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13ED0D">
    <w:pPr>
      <w:pStyle w:val="18"/>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503D77">
    <w:pPr>
      <w:pStyle w:val="18"/>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F9B38">
    <w:pPr>
      <w:pStyle w:val="61"/>
    </w:pPr>
    <w:r>
      <w:fldChar w:fldCharType="begin"/>
    </w:r>
    <w:r>
      <w:instrText xml:space="preserve"> STYLEREF  标准文件_文件编号  \* MERGEFORMAT </w:instrText>
    </w:r>
    <w:r>
      <w:fldChar w:fldCharType="separate"/>
    </w:r>
    <w:r>
      <w:t>T/CNHA XXXX—2026</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8B286F">
    <w:pPr>
      <w:pStyle w:val="18"/>
      <w:jc w:val="right"/>
    </w:pPr>
    <w:r>
      <w:fldChar w:fldCharType="begin"/>
    </w:r>
    <w:r>
      <w:instrText xml:space="preserve"> STYLEREF  标准文件_文件编号  \* MERGEFORMAT </w:instrText>
    </w:r>
    <w:r>
      <w:fldChar w:fldCharType="separate"/>
    </w:r>
    <w:r>
      <w:t>T/CNHA XXXX—2026</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pStyle w:val="235"/>
      <w:lvlText w:val="%3."/>
      <w:lvlJc w:val="right"/>
      <w:pPr>
        <w:tabs>
          <w:tab w:val="left" w:pos="2258"/>
        </w:tabs>
        <w:ind w:left="2258" w:hanging="420"/>
      </w:pPr>
    </w:lvl>
    <w:lvl w:ilvl="3" w:tentative="0">
      <w:start w:val="1"/>
      <w:numFmt w:val="decimal"/>
      <w:pStyle w:val="238"/>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2E32610F"/>
    <w:multiLevelType w:val="multilevel"/>
    <w:tmpl w:val="2E32610F"/>
    <w:lvl w:ilvl="0" w:tentative="0">
      <w:start w:val="1"/>
      <w:numFmt w:val="decimal"/>
      <w:pStyle w:val="240"/>
      <w:lvlText w:val="图%1 "/>
      <w:lvlJc w:val="left"/>
      <w:pPr>
        <w:ind w:left="220" w:hanging="420"/>
      </w:pPr>
      <w:rPr>
        <w:rFonts w:hint="default" w:ascii="Times New Roman" w:hAnsi="Times New Roman" w:eastAsia="黑体"/>
        <w:sz w:val="21"/>
      </w:rPr>
    </w:lvl>
    <w:lvl w:ilvl="1" w:tentative="0">
      <w:start w:val="1"/>
      <w:numFmt w:val="lowerLetter"/>
      <w:lvlText w:val="%2)"/>
      <w:lvlJc w:val="left"/>
      <w:pPr>
        <w:ind w:left="640" w:hanging="420"/>
      </w:pPr>
    </w:lvl>
    <w:lvl w:ilvl="2" w:tentative="0">
      <w:start w:val="1"/>
      <w:numFmt w:val="lowerRoman"/>
      <w:lvlText w:val="%3."/>
      <w:lvlJc w:val="right"/>
      <w:pPr>
        <w:ind w:left="1060" w:hanging="420"/>
      </w:pPr>
    </w:lvl>
    <w:lvl w:ilvl="3" w:tentative="0">
      <w:start w:val="1"/>
      <w:numFmt w:val="decimal"/>
      <w:lvlText w:val="%4."/>
      <w:lvlJc w:val="left"/>
      <w:pPr>
        <w:ind w:left="1480" w:hanging="420"/>
      </w:pPr>
    </w:lvl>
    <w:lvl w:ilvl="4" w:tentative="0">
      <w:start w:val="1"/>
      <w:numFmt w:val="lowerLetter"/>
      <w:lvlText w:val="%5)"/>
      <w:lvlJc w:val="left"/>
      <w:pPr>
        <w:ind w:left="1900" w:hanging="420"/>
      </w:pPr>
    </w:lvl>
    <w:lvl w:ilvl="5" w:tentative="0">
      <w:start w:val="1"/>
      <w:numFmt w:val="lowerRoman"/>
      <w:lvlText w:val="%6."/>
      <w:lvlJc w:val="right"/>
      <w:pPr>
        <w:ind w:left="2320" w:hanging="420"/>
      </w:pPr>
    </w:lvl>
    <w:lvl w:ilvl="6" w:tentative="0">
      <w:start w:val="1"/>
      <w:numFmt w:val="decimal"/>
      <w:lvlText w:val="%7."/>
      <w:lvlJc w:val="left"/>
      <w:pPr>
        <w:ind w:left="2740" w:hanging="420"/>
      </w:pPr>
    </w:lvl>
    <w:lvl w:ilvl="7" w:tentative="0">
      <w:start w:val="1"/>
      <w:numFmt w:val="lowerLetter"/>
      <w:lvlText w:val="%8)"/>
      <w:lvlJc w:val="left"/>
      <w:pPr>
        <w:ind w:left="3160" w:hanging="420"/>
      </w:pPr>
    </w:lvl>
    <w:lvl w:ilvl="8" w:tentative="0">
      <w:start w:val="1"/>
      <w:numFmt w:val="lowerRoman"/>
      <w:lvlText w:val="%9."/>
      <w:lvlJc w:val="right"/>
      <w:pPr>
        <w:ind w:left="3580" w:hanging="420"/>
      </w:pPr>
    </w:lvl>
  </w:abstractNum>
  <w:abstractNum w:abstractNumId="12">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3">
    <w:nsid w:val="3D1C17D8"/>
    <w:multiLevelType w:val="multilevel"/>
    <w:tmpl w:val="3D1C17D8"/>
    <w:lvl w:ilvl="0" w:tentative="0">
      <w:start w:val="1"/>
      <w:numFmt w:val="decimal"/>
      <w:pStyle w:val="243"/>
      <w:lvlText w:val="表%1 "/>
      <w:lvlJc w:val="left"/>
      <w:pPr>
        <w:ind w:left="420" w:hanging="420"/>
      </w:pPr>
      <w:rPr>
        <w:rFonts w:hint="default" w:ascii="Times New Roman" w:hAnsi="Times New Roman" w:eastAsia="黑体"/>
        <w:sz w:val="21"/>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5">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6">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7">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9">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20">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1">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2">
    <w:nsid w:val="640F6D82"/>
    <w:multiLevelType w:val="multilevel"/>
    <w:tmpl w:val="640F6D82"/>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3">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4">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5">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6">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7">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8">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9">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1">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2">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3">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4">
    <w:nsid w:val="7EF30ABD"/>
    <w:multiLevelType w:val="multilevel"/>
    <w:tmpl w:val="7EF30ABD"/>
    <w:lvl w:ilvl="0" w:tentative="0">
      <w:start w:val="1"/>
      <w:numFmt w:val="lowerLetter"/>
      <w:lvlText w:val="%1)"/>
      <w:lvlJc w:val="left"/>
      <w:pPr>
        <w:ind w:left="860" w:hanging="440"/>
      </w:p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num w:numId="1">
    <w:abstractNumId w:val="0"/>
  </w:num>
  <w:num w:numId="2">
    <w:abstractNumId w:val="30"/>
  </w:num>
  <w:num w:numId="3">
    <w:abstractNumId w:val="5"/>
  </w:num>
  <w:num w:numId="4">
    <w:abstractNumId w:val="26"/>
  </w:num>
  <w:num w:numId="5">
    <w:abstractNumId w:val="20"/>
  </w:num>
  <w:num w:numId="6">
    <w:abstractNumId w:val="15"/>
  </w:num>
  <w:num w:numId="7">
    <w:abstractNumId w:val="8"/>
  </w:num>
  <w:num w:numId="8">
    <w:abstractNumId w:val="3"/>
  </w:num>
  <w:num w:numId="9">
    <w:abstractNumId w:val="9"/>
  </w:num>
  <w:num w:numId="10">
    <w:abstractNumId w:val="18"/>
  </w:num>
  <w:num w:numId="11">
    <w:abstractNumId w:val="28"/>
  </w:num>
  <w:num w:numId="12">
    <w:abstractNumId w:val="12"/>
  </w:num>
  <w:num w:numId="13">
    <w:abstractNumId w:val="14"/>
  </w:num>
  <w:num w:numId="14">
    <w:abstractNumId w:val="7"/>
  </w:num>
  <w:num w:numId="15">
    <w:abstractNumId w:val="21"/>
  </w:num>
  <w:num w:numId="16">
    <w:abstractNumId w:val="24"/>
  </w:num>
  <w:num w:numId="17">
    <w:abstractNumId w:val="19"/>
  </w:num>
  <w:num w:numId="18">
    <w:abstractNumId w:val="32"/>
  </w:num>
  <w:num w:numId="19">
    <w:abstractNumId w:val="17"/>
  </w:num>
  <w:num w:numId="20">
    <w:abstractNumId w:val="1"/>
  </w:num>
  <w:num w:numId="21">
    <w:abstractNumId w:val="10"/>
  </w:num>
  <w:num w:numId="22">
    <w:abstractNumId w:val="33"/>
  </w:num>
  <w:num w:numId="23">
    <w:abstractNumId w:val="23"/>
  </w:num>
  <w:num w:numId="24">
    <w:abstractNumId w:val="6"/>
  </w:num>
  <w:num w:numId="25">
    <w:abstractNumId w:val="29"/>
  </w:num>
  <w:num w:numId="26">
    <w:abstractNumId w:val="31"/>
  </w:num>
  <w:num w:numId="27">
    <w:abstractNumId w:val="2"/>
  </w:num>
  <w:num w:numId="28">
    <w:abstractNumId w:val="4"/>
  </w:num>
  <w:num w:numId="29">
    <w:abstractNumId w:val="16"/>
  </w:num>
  <w:num w:numId="30">
    <w:abstractNumId w:val="27"/>
  </w:num>
  <w:num w:numId="31">
    <w:abstractNumId w:val="25"/>
  </w:num>
  <w:num w:numId="32">
    <w:abstractNumId w:val="11"/>
  </w:num>
  <w:num w:numId="33">
    <w:abstractNumId w:val="13"/>
  </w:num>
  <w:num w:numId="34">
    <w:abstractNumId w:val="34"/>
  </w:num>
  <w:num w:numId="3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1"/>
  <w:bordersDoNotSurroundFooter w:val="1"/>
  <w:attachedTemplate r:id="rId1"/>
  <w:documentProtection w:edit="forms" w:enforcement="1" w:cryptProviderType="rsaAES" w:cryptAlgorithmClass="hash" w:cryptAlgorithmType="typeAny" w:cryptAlgorithmSid="14" w:cryptSpinCount="100000" w:hash="sz1vy+p0E1saIoe7OULccEY/W09cLNCuCpQXo6xIa9NYd8hwr2uuwRoyVx+AN2X3okZYqZ6poX5x1ArZ2xAakQ==" w:salt="Yn0gFbSrhklB5WyrHT0jbQ=="/>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4DBE"/>
    <w:rsid w:val="0000040A"/>
    <w:rsid w:val="00000A94"/>
    <w:rsid w:val="00001972"/>
    <w:rsid w:val="00001D9A"/>
    <w:rsid w:val="00005D6C"/>
    <w:rsid w:val="00007B3A"/>
    <w:rsid w:val="000107E0"/>
    <w:rsid w:val="00011FDE"/>
    <w:rsid w:val="00012FFD"/>
    <w:rsid w:val="000135B5"/>
    <w:rsid w:val="00014162"/>
    <w:rsid w:val="00014340"/>
    <w:rsid w:val="00016A9C"/>
    <w:rsid w:val="00022184"/>
    <w:rsid w:val="00022762"/>
    <w:rsid w:val="0002338F"/>
    <w:rsid w:val="000238E0"/>
    <w:rsid w:val="000249DB"/>
    <w:rsid w:val="0002595E"/>
    <w:rsid w:val="00027638"/>
    <w:rsid w:val="0002793D"/>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096"/>
    <w:rsid w:val="000622D4"/>
    <w:rsid w:val="0006357D"/>
    <w:rsid w:val="00067F1E"/>
    <w:rsid w:val="00071CC0"/>
    <w:rsid w:val="00071CFC"/>
    <w:rsid w:val="00073C8C"/>
    <w:rsid w:val="00077B64"/>
    <w:rsid w:val="00080A1C"/>
    <w:rsid w:val="00082317"/>
    <w:rsid w:val="000824CD"/>
    <w:rsid w:val="00083D2C"/>
    <w:rsid w:val="00086AA1"/>
    <w:rsid w:val="00087A77"/>
    <w:rsid w:val="00090CA6"/>
    <w:rsid w:val="00092B8A"/>
    <w:rsid w:val="00092FB0"/>
    <w:rsid w:val="000934C5"/>
    <w:rsid w:val="00093D25"/>
    <w:rsid w:val="00093DAB"/>
    <w:rsid w:val="00094D73"/>
    <w:rsid w:val="00096D63"/>
    <w:rsid w:val="00097007"/>
    <w:rsid w:val="000A0B60"/>
    <w:rsid w:val="000A0EB8"/>
    <w:rsid w:val="000A19FC"/>
    <w:rsid w:val="000A296B"/>
    <w:rsid w:val="000A7311"/>
    <w:rsid w:val="000B060F"/>
    <w:rsid w:val="000B1592"/>
    <w:rsid w:val="000B1FF2"/>
    <w:rsid w:val="000B3CDA"/>
    <w:rsid w:val="000B6A0B"/>
    <w:rsid w:val="000B7D35"/>
    <w:rsid w:val="000C0F6C"/>
    <w:rsid w:val="000C103A"/>
    <w:rsid w:val="000C11DB"/>
    <w:rsid w:val="000C1492"/>
    <w:rsid w:val="000C1DBB"/>
    <w:rsid w:val="000C2FBD"/>
    <w:rsid w:val="000C4B41"/>
    <w:rsid w:val="000C57D6"/>
    <w:rsid w:val="000C5A4C"/>
    <w:rsid w:val="000C605B"/>
    <w:rsid w:val="000C6362"/>
    <w:rsid w:val="000C7666"/>
    <w:rsid w:val="000D0A9C"/>
    <w:rsid w:val="000D1795"/>
    <w:rsid w:val="000D329A"/>
    <w:rsid w:val="000D3459"/>
    <w:rsid w:val="000D3C99"/>
    <w:rsid w:val="000D4B9C"/>
    <w:rsid w:val="000D4EB6"/>
    <w:rsid w:val="000D753B"/>
    <w:rsid w:val="000E4C9E"/>
    <w:rsid w:val="000E55A9"/>
    <w:rsid w:val="000E6FD7"/>
    <w:rsid w:val="000E7144"/>
    <w:rsid w:val="000E76DA"/>
    <w:rsid w:val="000F04FB"/>
    <w:rsid w:val="000F06E1"/>
    <w:rsid w:val="000F0E3C"/>
    <w:rsid w:val="000F19D5"/>
    <w:rsid w:val="000F4050"/>
    <w:rsid w:val="000F4AEA"/>
    <w:rsid w:val="000F67E9"/>
    <w:rsid w:val="00103EB4"/>
    <w:rsid w:val="00104926"/>
    <w:rsid w:val="0010752C"/>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4759"/>
    <w:rsid w:val="00155625"/>
    <w:rsid w:val="00156B25"/>
    <w:rsid w:val="00156E1A"/>
    <w:rsid w:val="00157894"/>
    <w:rsid w:val="00157A23"/>
    <w:rsid w:val="00157B55"/>
    <w:rsid w:val="001642FA"/>
    <w:rsid w:val="001647B5"/>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2C04"/>
    <w:rsid w:val="00183BC9"/>
    <w:rsid w:val="001852C9"/>
    <w:rsid w:val="00187A0B"/>
    <w:rsid w:val="00190087"/>
    <w:rsid w:val="001913C4"/>
    <w:rsid w:val="00191901"/>
    <w:rsid w:val="0019348F"/>
    <w:rsid w:val="00193A07"/>
    <w:rsid w:val="00194C95"/>
    <w:rsid w:val="00195C34"/>
    <w:rsid w:val="00196EF5"/>
    <w:rsid w:val="00197F7F"/>
    <w:rsid w:val="001A1A53"/>
    <w:rsid w:val="001A234A"/>
    <w:rsid w:val="001A3CC1"/>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D6B58"/>
    <w:rsid w:val="001E1B6A"/>
    <w:rsid w:val="001E2484"/>
    <w:rsid w:val="001E3CC4"/>
    <w:rsid w:val="001E4882"/>
    <w:rsid w:val="001E73AB"/>
    <w:rsid w:val="001F092D"/>
    <w:rsid w:val="001F143A"/>
    <w:rsid w:val="001F1605"/>
    <w:rsid w:val="001F2508"/>
    <w:rsid w:val="001F2E16"/>
    <w:rsid w:val="001F4816"/>
    <w:rsid w:val="001F5615"/>
    <w:rsid w:val="001F561D"/>
    <w:rsid w:val="001F651D"/>
    <w:rsid w:val="001F69B4"/>
    <w:rsid w:val="001F77C7"/>
    <w:rsid w:val="00200183"/>
    <w:rsid w:val="00200333"/>
    <w:rsid w:val="0020107D"/>
    <w:rsid w:val="00201E14"/>
    <w:rsid w:val="0020235E"/>
    <w:rsid w:val="00202AA4"/>
    <w:rsid w:val="002031F7"/>
    <w:rsid w:val="002040E6"/>
    <w:rsid w:val="0020527B"/>
    <w:rsid w:val="00205F2C"/>
    <w:rsid w:val="00210B15"/>
    <w:rsid w:val="002142EA"/>
    <w:rsid w:val="00215ADD"/>
    <w:rsid w:val="00215C35"/>
    <w:rsid w:val="002204BB"/>
    <w:rsid w:val="00221B79"/>
    <w:rsid w:val="00221C6B"/>
    <w:rsid w:val="00222063"/>
    <w:rsid w:val="002253A1"/>
    <w:rsid w:val="00225CF8"/>
    <w:rsid w:val="0022794E"/>
    <w:rsid w:val="0023346E"/>
    <w:rsid w:val="00233D64"/>
    <w:rsid w:val="0023482A"/>
    <w:rsid w:val="002359CB"/>
    <w:rsid w:val="002369D3"/>
    <w:rsid w:val="00243540"/>
    <w:rsid w:val="0024497B"/>
    <w:rsid w:val="0024515B"/>
    <w:rsid w:val="002456C5"/>
    <w:rsid w:val="00246021"/>
    <w:rsid w:val="0024666E"/>
    <w:rsid w:val="00247CEF"/>
    <w:rsid w:val="00247F52"/>
    <w:rsid w:val="00250B25"/>
    <w:rsid w:val="00250BBE"/>
    <w:rsid w:val="002515C2"/>
    <w:rsid w:val="0025194F"/>
    <w:rsid w:val="0026148A"/>
    <w:rsid w:val="00262696"/>
    <w:rsid w:val="002630BB"/>
    <w:rsid w:val="00263B22"/>
    <w:rsid w:val="00263D25"/>
    <w:rsid w:val="002643C3"/>
    <w:rsid w:val="00264A0C"/>
    <w:rsid w:val="00266EEB"/>
    <w:rsid w:val="00267EF4"/>
    <w:rsid w:val="00270CB8"/>
    <w:rsid w:val="00272B08"/>
    <w:rsid w:val="002763CB"/>
    <w:rsid w:val="00276989"/>
    <w:rsid w:val="00281493"/>
    <w:rsid w:val="00281BB8"/>
    <w:rsid w:val="00281E9E"/>
    <w:rsid w:val="00282405"/>
    <w:rsid w:val="00285170"/>
    <w:rsid w:val="00285361"/>
    <w:rsid w:val="00292D60"/>
    <w:rsid w:val="00293B30"/>
    <w:rsid w:val="00294D34"/>
    <w:rsid w:val="00294E3B"/>
    <w:rsid w:val="00296193"/>
    <w:rsid w:val="00296C66"/>
    <w:rsid w:val="00296EBE"/>
    <w:rsid w:val="002974E3"/>
    <w:rsid w:val="002A07ED"/>
    <w:rsid w:val="002A084B"/>
    <w:rsid w:val="002A0C1D"/>
    <w:rsid w:val="002A1260"/>
    <w:rsid w:val="002A1589"/>
    <w:rsid w:val="002A1608"/>
    <w:rsid w:val="002A25DC"/>
    <w:rsid w:val="002A3AAB"/>
    <w:rsid w:val="002A4CEA"/>
    <w:rsid w:val="002A5977"/>
    <w:rsid w:val="002A5A13"/>
    <w:rsid w:val="002A66BF"/>
    <w:rsid w:val="002A757F"/>
    <w:rsid w:val="002A7F44"/>
    <w:rsid w:val="002B0C40"/>
    <w:rsid w:val="002B1966"/>
    <w:rsid w:val="002B4508"/>
    <w:rsid w:val="002B5779"/>
    <w:rsid w:val="002B7332"/>
    <w:rsid w:val="002B7F51"/>
    <w:rsid w:val="002C09E7"/>
    <w:rsid w:val="002C1E06"/>
    <w:rsid w:val="002C3F07"/>
    <w:rsid w:val="002C430A"/>
    <w:rsid w:val="002C5278"/>
    <w:rsid w:val="002C6E59"/>
    <w:rsid w:val="002C7EBB"/>
    <w:rsid w:val="002D06C1"/>
    <w:rsid w:val="002D3F5E"/>
    <w:rsid w:val="002D42B5"/>
    <w:rsid w:val="002D4F1A"/>
    <w:rsid w:val="002D6EC6"/>
    <w:rsid w:val="002D79AC"/>
    <w:rsid w:val="002E039D"/>
    <w:rsid w:val="002E4D5A"/>
    <w:rsid w:val="002E6326"/>
    <w:rsid w:val="002F30E0"/>
    <w:rsid w:val="002F35E4"/>
    <w:rsid w:val="002F3730"/>
    <w:rsid w:val="002F38E1"/>
    <w:rsid w:val="002F52BC"/>
    <w:rsid w:val="002F7AF6"/>
    <w:rsid w:val="00300E63"/>
    <w:rsid w:val="00302F5F"/>
    <w:rsid w:val="0030441D"/>
    <w:rsid w:val="00306063"/>
    <w:rsid w:val="00313B85"/>
    <w:rsid w:val="0031432B"/>
    <w:rsid w:val="00317988"/>
    <w:rsid w:val="003221B4"/>
    <w:rsid w:val="0032258D"/>
    <w:rsid w:val="00322E62"/>
    <w:rsid w:val="00324D13"/>
    <w:rsid w:val="00324EDD"/>
    <w:rsid w:val="00326D73"/>
    <w:rsid w:val="003331E4"/>
    <w:rsid w:val="003366AE"/>
    <w:rsid w:val="00336C64"/>
    <w:rsid w:val="00337162"/>
    <w:rsid w:val="0034194F"/>
    <w:rsid w:val="00344605"/>
    <w:rsid w:val="003474AA"/>
    <w:rsid w:val="00350D1D"/>
    <w:rsid w:val="00352C83"/>
    <w:rsid w:val="00352F1A"/>
    <w:rsid w:val="0036107C"/>
    <w:rsid w:val="003615D2"/>
    <w:rsid w:val="0036429C"/>
    <w:rsid w:val="00364A53"/>
    <w:rsid w:val="00364AE2"/>
    <w:rsid w:val="003654CB"/>
    <w:rsid w:val="00365AA9"/>
    <w:rsid w:val="00365F86"/>
    <w:rsid w:val="00365F87"/>
    <w:rsid w:val="00366E89"/>
    <w:rsid w:val="003705F4"/>
    <w:rsid w:val="00370D58"/>
    <w:rsid w:val="00371316"/>
    <w:rsid w:val="00374BFD"/>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3B53"/>
    <w:rsid w:val="00393BD4"/>
    <w:rsid w:val="00394376"/>
    <w:rsid w:val="003943FF"/>
    <w:rsid w:val="003974EB"/>
    <w:rsid w:val="00397CC5"/>
    <w:rsid w:val="003A11D1"/>
    <w:rsid w:val="003A1582"/>
    <w:rsid w:val="003A2D1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E75AC"/>
    <w:rsid w:val="003E7D6E"/>
    <w:rsid w:val="003F0841"/>
    <w:rsid w:val="003F23D3"/>
    <w:rsid w:val="003F3F08"/>
    <w:rsid w:val="003F49F1"/>
    <w:rsid w:val="003F6272"/>
    <w:rsid w:val="00400E72"/>
    <w:rsid w:val="00401400"/>
    <w:rsid w:val="00404869"/>
    <w:rsid w:val="00405884"/>
    <w:rsid w:val="00407D39"/>
    <w:rsid w:val="00411030"/>
    <w:rsid w:val="0041477A"/>
    <w:rsid w:val="004167A3"/>
    <w:rsid w:val="00420FCE"/>
    <w:rsid w:val="00427C8E"/>
    <w:rsid w:val="00432DAA"/>
    <w:rsid w:val="00434305"/>
    <w:rsid w:val="00435DF7"/>
    <w:rsid w:val="0044083F"/>
    <w:rsid w:val="00441AE7"/>
    <w:rsid w:val="004440F0"/>
    <w:rsid w:val="00445574"/>
    <w:rsid w:val="004467FB"/>
    <w:rsid w:val="00452D6B"/>
    <w:rsid w:val="00454484"/>
    <w:rsid w:val="0045517B"/>
    <w:rsid w:val="004616EB"/>
    <w:rsid w:val="00463B77"/>
    <w:rsid w:val="00463C7B"/>
    <w:rsid w:val="004644A6"/>
    <w:rsid w:val="004659BD"/>
    <w:rsid w:val="00470775"/>
    <w:rsid w:val="00473233"/>
    <w:rsid w:val="004746B1"/>
    <w:rsid w:val="0047583F"/>
    <w:rsid w:val="00475DE8"/>
    <w:rsid w:val="00481C44"/>
    <w:rsid w:val="004839B7"/>
    <w:rsid w:val="00483B41"/>
    <w:rsid w:val="00484936"/>
    <w:rsid w:val="00485C89"/>
    <w:rsid w:val="00486BE3"/>
    <w:rsid w:val="004905E4"/>
    <w:rsid w:val="00490A89"/>
    <w:rsid w:val="00490AB4"/>
    <w:rsid w:val="00492F02"/>
    <w:rsid w:val="004939AE"/>
    <w:rsid w:val="004A0E1B"/>
    <w:rsid w:val="004A12DF"/>
    <w:rsid w:val="004A1BA8"/>
    <w:rsid w:val="004A484C"/>
    <w:rsid w:val="004A4B57"/>
    <w:rsid w:val="004A63FA"/>
    <w:rsid w:val="004A6A3D"/>
    <w:rsid w:val="004B0272"/>
    <w:rsid w:val="004B2701"/>
    <w:rsid w:val="004B2E1B"/>
    <w:rsid w:val="004B3AA8"/>
    <w:rsid w:val="004B3E93"/>
    <w:rsid w:val="004C1FBC"/>
    <w:rsid w:val="004C25A2"/>
    <w:rsid w:val="004C3F1D"/>
    <w:rsid w:val="004C458D"/>
    <w:rsid w:val="004C57A3"/>
    <w:rsid w:val="004C7556"/>
    <w:rsid w:val="004C7E8B"/>
    <w:rsid w:val="004C7E9D"/>
    <w:rsid w:val="004C7F67"/>
    <w:rsid w:val="004D076D"/>
    <w:rsid w:val="004D0EF1"/>
    <w:rsid w:val="004D2253"/>
    <w:rsid w:val="004D389F"/>
    <w:rsid w:val="004D4406"/>
    <w:rsid w:val="004D7C42"/>
    <w:rsid w:val="004E0465"/>
    <w:rsid w:val="004E127B"/>
    <w:rsid w:val="004E1C0A"/>
    <w:rsid w:val="004E30C5"/>
    <w:rsid w:val="004E4AA5"/>
    <w:rsid w:val="004E4AEE"/>
    <w:rsid w:val="004E59E3"/>
    <w:rsid w:val="004E67C0"/>
    <w:rsid w:val="004E7BB5"/>
    <w:rsid w:val="004F2A35"/>
    <w:rsid w:val="004F391A"/>
    <w:rsid w:val="004F3CFB"/>
    <w:rsid w:val="004F6456"/>
    <w:rsid w:val="004F696E"/>
    <w:rsid w:val="004F6C71"/>
    <w:rsid w:val="004F74C5"/>
    <w:rsid w:val="00500BBF"/>
    <w:rsid w:val="00501139"/>
    <w:rsid w:val="0050363E"/>
    <w:rsid w:val="005039BC"/>
    <w:rsid w:val="005043BB"/>
    <w:rsid w:val="00504A3D"/>
    <w:rsid w:val="00505612"/>
    <w:rsid w:val="00505767"/>
    <w:rsid w:val="005073F0"/>
    <w:rsid w:val="00510A7B"/>
    <w:rsid w:val="00512721"/>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194A"/>
    <w:rsid w:val="00543663"/>
    <w:rsid w:val="00543BDA"/>
    <w:rsid w:val="005441CC"/>
    <w:rsid w:val="00546660"/>
    <w:rsid w:val="005479DA"/>
    <w:rsid w:val="00547BCC"/>
    <w:rsid w:val="0055013B"/>
    <w:rsid w:val="0055144E"/>
    <w:rsid w:val="00551975"/>
    <w:rsid w:val="00551F6F"/>
    <w:rsid w:val="00555044"/>
    <w:rsid w:val="00555E81"/>
    <w:rsid w:val="00561433"/>
    <w:rsid w:val="00561475"/>
    <w:rsid w:val="00562308"/>
    <w:rsid w:val="0056487B"/>
    <w:rsid w:val="00564FB9"/>
    <w:rsid w:val="0057154D"/>
    <w:rsid w:val="00573D9E"/>
    <w:rsid w:val="005801E3"/>
    <w:rsid w:val="00581802"/>
    <w:rsid w:val="005836A8"/>
    <w:rsid w:val="0058409C"/>
    <w:rsid w:val="00584262"/>
    <w:rsid w:val="00586630"/>
    <w:rsid w:val="00586C9C"/>
    <w:rsid w:val="00587ADD"/>
    <w:rsid w:val="00593A49"/>
    <w:rsid w:val="00596160"/>
    <w:rsid w:val="005966E2"/>
    <w:rsid w:val="00597007"/>
    <w:rsid w:val="005A0966"/>
    <w:rsid w:val="005A11B7"/>
    <w:rsid w:val="005A260B"/>
    <w:rsid w:val="005A29BA"/>
    <w:rsid w:val="005A38C0"/>
    <w:rsid w:val="005A4A1B"/>
    <w:rsid w:val="005A734A"/>
    <w:rsid w:val="005A7830"/>
    <w:rsid w:val="005A7FCE"/>
    <w:rsid w:val="005B0F3F"/>
    <w:rsid w:val="005B191C"/>
    <w:rsid w:val="005B4903"/>
    <w:rsid w:val="005B51CE"/>
    <w:rsid w:val="005B5885"/>
    <w:rsid w:val="005B5CD7"/>
    <w:rsid w:val="005B6CF6"/>
    <w:rsid w:val="005B7422"/>
    <w:rsid w:val="005C29B8"/>
    <w:rsid w:val="005C4D2E"/>
    <w:rsid w:val="005C5F21"/>
    <w:rsid w:val="005C6741"/>
    <w:rsid w:val="005C7156"/>
    <w:rsid w:val="005D0C75"/>
    <w:rsid w:val="005D4171"/>
    <w:rsid w:val="005D6A95"/>
    <w:rsid w:val="005D6B2C"/>
    <w:rsid w:val="005D6D9C"/>
    <w:rsid w:val="005D77AE"/>
    <w:rsid w:val="005D7A37"/>
    <w:rsid w:val="005E0AA6"/>
    <w:rsid w:val="005E2335"/>
    <w:rsid w:val="005E34CA"/>
    <w:rsid w:val="005E3C18"/>
    <w:rsid w:val="005E4250"/>
    <w:rsid w:val="005E626E"/>
    <w:rsid w:val="005E6812"/>
    <w:rsid w:val="005E7881"/>
    <w:rsid w:val="005E78E0"/>
    <w:rsid w:val="005F0D9C"/>
    <w:rsid w:val="005F284E"/>
    <w:rsid w:val="006001FA"/>
    <w:rsid w:val="006015CE"/>
    <w:rsid w:val="00604784"/>
    <w:rsid w:val="00606419"/>
    <w:rsid w:val="00607D29"/>
    <w:rsid w:val="00612952"/>
    <w:rsid w:val="00613BA8"/>
    <w:rsid w:val="006142EA"/>
    <w:rsid w:val="00614CC1"/>
    <w:rsid w:val="00615A9D"/>
    <w:rsid w:val="00617387"/>
    <w:rsid w:val="006205D6"/>
    <w:rsid w:val="006252D8"/>
    <w:rsid w:val="006259BC"/>
    <w:rsid w:val="0062636B"/>
    <w:rsid w:val="00632182"/>
    <w:rsid w:val="00632AE0"/>
    <w:rsid w:val="00633C17"/>
    <w:rsid w:val="0063437E"/>
    <w:rsid w:val="00634D9E"/>
    <w:rsid w:val="00636E3E"/>
    <w:rsid w:val="006379F7"/>
    <w:rsid w:val="00637E4D"/>
    <w:rsid w:val="00640620"/>
    <w:rsid w:val="00641A1F"/>
    <w:rsid w:val="00645904"/>
    <w:rsid w:val="0065168D"/>
    <w:rsid w:val="00651ACB"/>
    <w:rsid w:val="00651C47"/>
    <w:rsid w:val="00652AB2"/>
    <w:rsid w:val="00653FED"/>
    <w:rsid w:val="00654EC0"/>
    <w:rsid w:val="0065525B"/>
    <w:rsid w:val="00655D4F"/>
    <w:rsid w:val="00656D29"/>
    <w:rsid w:val="00663344"/>
    <w:rsid w:val="00663712"/>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86062"/>
    <w:rsid w:val="00687053"/>
    <w:rsid w:val="006A07AA"/>
    <w:rsid w:val="006A25E5"/>
    <w:rsid w:val="006A2B46"/>
    <w:rsid w:val="006A336D"/>
    <w:rsid w:val="006A37B9"/>
    <w:rsid w:val="006A47D9"/>
    <w:rsid w:val="006B2672"/>
    <w:rsid w:val="006B54BF"/>
    <w:rsid w:val="006B5F44"/>
    <w:rsid w:val="006B5F90"/>
    <w:rsid w:val="006B62E4"/>
    <w:rsid w:val="006C1BBA"/>
    <w:rsid w:val="006C2079"/>
    <w:rsid w:val="006C5A62"/>
    <w:rsid w:val="006C5D68"/>
    <w:rsid w:val="006C6976"/>
    <w:rsid w:val="006C6DD0"/>
    <w:rsid w:val="006C7F01"/>
    <w:rsid w:val="006D02EC"/>
    <w:rsid w:val="006D04EA"/>
    <w:rsid w:val="006D16C4"/>
    <w:rsid w:val="006D1EEF"/>
    <w:rsid w:val="006D3E96"/>
    <w:rsid w:val="006D4515"/>
    <w:rsid w:val="006D4BB1"/>
    <w:rsid w:val="006D6593"/>
    <w:rsid w:val="006E23F1"/>
    <w:rsid w:val="006E29E0"/>
    <w:rsid w:val="006E7263"/>
    <w:rsid w:val="006E7E3B"/>
    <w:rsid w:val="006F03A8"/>
    <w:rsid w:val="006F2ACA"/>
    <w:rsid w:val="006F2ADC"/>
    <w:rsid w:val="006F2BFE"/>
    <w:rsid w:val="006F31E9"/>
    <w:rsid w:val="006F6284"/>
    <w:rsid w:val="007002C5"/>
    <w:rsid w:val="00704387"/>
    <w:rsid w:val="00707669"/>
    <w:rsid w:val="00711CBA"/>
    <w:rsid w:val="00711FB5"/>
    <w:rsid w:val="00712A01"/>
    <w:rsid w:val="0071394B"/>
    <w:rsid w:val="00714F58"/>
    <w:rsid w:val="00722FBF"/>
    <w:rsid w:val="00722FC2"/>
    <w:rsid w:val="007238A0"/>
    <w:rsid w:val="007243B4"/>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47752"/>
    <w:rsid w:val="007478DA"/>
    <w:rsid w:val="007501A8"/>
    <w:rsid w:val="00750D61"/>
    <w:rsid w:val="00750EE1"/>
    <w:rsid w:val="00751C50"/>
    <w:rsid w:val="00752B4D"/>
    <w:rsid w:val="00755402"/>
    <w:rsid w:val="00756B26"/>
    <w:rsid w:val="00756EDF"/>
    <w:rsid w:val="007600E3"/>
    <w:rsid w:val="0076253C"/>
    <w:rsid w:val="00765C43"/>
    <w:rsid w:val="00765EFB"/>
    <w:rsid w:val="007671CA"/>
    <w:rsid w:val="00767C61"/>
    <w:rsid w:val="0077008A"/>
    <w:rsid w:val="00773C1F"/>
    <w:rsid w:val="0077446A"/>
    <w:rsid w:val="00774DA4"/>
    <w:rsid w:val="00776599"/>
    <w:rsid w:val="0078114B"/>
    <w:rsid w:val="00781DD2"/>
    <w:rsid w:val="00783ECF"/>
    <w:rsid w:val="0078413A"/>
    <w:rsid w:val="007959E8"/>
    <w:rsid w:val="00795E9C"/>
    <w:rsid w:val="007A0521"/>
    <w:rsid w:val="007A2E12"/>
    <w:rsid w:val="007A3475"/>
    <w:rsid w:val="007A41C8"/>
    <w:rsid w:val="007A54CE"/>
    <w:rsid w:val="007A58F7"/>
    <w:rsid w:val="007A5D3A"/>
    <w:rsid w:val="007A6FD9"/>
    <w:rsid w:val="007A7FFA"/>
    <w:rsid w:val="007B04EB"/>
    <w:rsid w:val="007B091F"/>
    <w:rsid w:val="007B0D4F"/>
    <w:rsid w:val="007B5A3D"/>
    <w:rsid w:val="007B5B95"/>
    <w:rsid w:val="007B5F98"/>
    <w:rsid w:val="007B6032"/>
    <w:rsid w:val="007B68EA"/>
    <w:rsid w:val="007B7453"/>
    <w:rsid w:val="007C19BB"/>
    <w:rsid w:val="007C2D89"/>
    <w:rsid w:val="007C4593"/>
    <w:rsid w:val="007C5309"/>
    <w:rsid w:val="007C6069"/>
    <w:rsid w:val="007D06C4"/>
    <w:rsid w:val="007D1352"/>
    <w:rsid w:val="007D1693"/>
    <w:rsid w:val="007D1733"/>
    <w:rsid w:val="007D2508"/>
    <w:rsid w:val="007D346A"/>
    <w:rsid w:val="007D6518"/>
    <w:rsid w:val="007D66C9"/>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44A7"/>
    <w:rsid w:val="00815419"/>
    <w:rsid w:val="008163C8"/>
    <w:rsid w:val="008164A1"/>
    <w:rsid w:val="00817325"/>
    <w:rsid w:val="008209E6"/>
    <w:rsid w:val="00821D19"/>
    <w:rsid w:val="00823303"/>
    <w:rsid w:val="008233B2"/>
    <w:rsid w:val="00823A9F"/>
    <w:rsid w:val="00823C85"/>
    <w:rsid w:val="00824ABC"/>
    <w:rsid w:val="00825138"/>
    <w:rsid w:val="008269DD"/>
    <w:rsid w:val="00830621"/>
    <w:rsid w:val="0083070E"/>
    <w:rsid w:val="0083260D"/>
    <w:rsid w:val="0083348C"/>
    <w:rsid w:val="008344A1"/>
    <w:rsid w:val="008373D3"/>
    <w:rsid w:val="00840617"/>
    <w:rsid w:val="00840F84"/>
    <w:rsid w:val="00841556"/>
    <w:rsid w:val="00842A47"/>
    <w:rsid w:val="00843C13"/>
    <w:rsid w:val="00843DEF"/>
    <w:rsid w:val="008454F8"/>
    <w:rsid w:val="008466DE"/>
    <w:rsid w:val="0085173A"/>
    <w:rsid w:val="008603CE"/>
    <w:rsid w:val="008620FC"/>
    <w:rsid w:val="008627A5"/>
    <w:rsid w:val="00863E05"/>
    <w:rsid w:val="00864C2C"/>
    <w:rsid w:val="0086507B"/>
    <w:rsid w:val="00865561"/>
    <w:rsid w:val="00865ACA"/>
    <w:rsid w:val="00865D28"/>
    <w:rsid w:val="00865F85"/>
    <w:rsid w:val="00867C10"/>
    <w:rsid w:val="00870439"/>
    <w:rsid w:val="00870DA1"/>
    <w:rsid w:val="00871708"/>
    <w:rsid w:val="00876FE1"/>
    <w:rsid w:val="00882E9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388"/>
    <w:rsid w:val="008B166D"/>
    <w:rsid w:val="008B17F4"/>
    <w:rsid w:val="008B3615"/>
    <w:rsid w:val="008B4AC4"/>
    <w:rsid w:val="008B50C8"/>
    <w:rsid w:val="008B5281"/>
    <w:rsid w:val="008B7E05"/>
    <w:rsid w:val="008C1797"/>
    <w:rsid w:val="008C219C"/>
    <w:rsid w:val="008C275A"/>
    <w:rsid w:val="008C407A"/>
    <w:rsid w:val="008C475E"/>
    <w:rsid w:val="008C619A"/>
    <w:rsid w:val="008C6368"/>
    <w:rsid w:val="008C6838"/>
    <w:rsid w:val="008D0CE8"/>
    <w:rsid w:val="008D1021"/>
    <w:rsid w:val="008D2D1D"/>
    <w:rsid w:val="008D3557"/>
    <w:rsid w:val="008D3C68"/>
    <w:rsid w:val="008D453D"/>
    <w:rsid w:val="008D4D3B"/>
    <w:rsid w:val="008D5356"/>
    <w:rsid w:val="008D53AD"/>
    <w:rsid w:val="008D562B"/>
    <w:rsid w:val="008D5733"/>
    <w:rsid w:val="008D622B"/>
    <w:rsid w:val="008D666C"/>
    <w:rsid w:val="008D7B54"/>
    <w:rsid w:val="008E0015"/>
    <w:rsid w:val="008E0C9D"/>
    <w:rsid w:val="008E1648"/>
    <w:rsid w:val="008E1B3E"/>
    <w:rsid w:val="008E2319"/>
    <w:rsid w:val="008E3DE3"/>
    <w:rsid w:val="008E4BB6"/>
    <w:rsid w:val="008E5518"/>
    <w:rsid w:val="008E6A84"/>
    <w:rsid w:val="008E6F59"/>
    <w:rsid w:val="008F0CDC"/>
    <w:rsid w:val="008F17A3"/>
    <w:rsid w:val="008F1ED3"/>
    <w:rsid w:val="008F4C29"/>
    <w:rsid w:val="008F70BD"/>
    <w:rsid w:val="008F788F"/>
    <w:rsid w:val="008F7EA2"/>
    <w:rsid w:val="00902722"/>
    <w:rsid w:val="009027BC"/>
    <w:rsid w:val="009062E6"/>
    <w:rsid w:val="009070EF"/>
    <w:rsid w:val="009100F2"/>
    <w:rsid w:val="00911BE5"/>
    <w:rsid w:val="0091314E"/>
    <w:rsid w:val="0091357F"/>
    <w:rsid w:val="00913CA9"/>
    <w:rsid w:val="009145AE"/>
    <w:rsid w:val="009146CE"/>
    <w:rsid w:val="00914CA7"/>
    <w:rsid w:val="00915C3E"/>
    <w:rsid w:val="009161A8"/>
    <w:rsid w:val="009245AE"/>
    <w:rsid w:val="009245F5"/>
    <w:rsid w:val="009249EC"/>
    <w:rsid w:val="009273B3"/>
    <w:rsid w:val="009305B5"/>
    <w:rsid w:val="009378DD"/>
    <w:rsid w:val="0094143F"/>
    <w:rsid w:val="00941E1E"/>
    <w:rsid w:val="009429D5"/>
    <w:rsid w:val="00942BF1"/>
    <w:rsid w:val="00945180"/>
    <w:rsid w:val="00945428"/>
    <w:rsid w:val="0094607B"/>
    <w:rsid w:val="009534AC"/>
    <w:rsid w:val="00953604"/>
    <w:rsid w:val="0095496B"/>
    <w:rsid w:val="00954C44"/>
    <w:rsid w:val="00954E26"/>
    <w:rsid w:val="00960F1E"/>
    <w:rsid w:val="009610DC"/>
    <w:rsid w:val="00961490"/>
    <w:rsid w:val="0096381A"/>
    <w:rsid w:val="00965E04"/>
    <w:rsid w:val="009674AD"/>
    <w:rsid w:val="00970CDC"/>
    <w:rsid w:val="009726AF"/>
    <w:rsid w:val="009736D1"/>
    <w:rsid w:val="00974429"/>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18"/>
    <w:rsid w:val="009A118E"/>
    <w:rsid w:val="009A21CD"/>
    <w:rsid w:val="009A278C"/>
    <w:rsid w:val="009A2BC2"/>
    <w:rsid w:val="009A42C1"/>
    <w:rsid w:val="009A5429"/>
    <w:rsid w:val="009A72AD"/>
    <w:rsid w:val="009B09E0"/>
    <w:rsid w:val="009B0BC5"/>
    <w:rsid w:val="009B106A"/>
    <w:rsid w:val="009B1247"/>
    <w:rsid w:val="009B35B5"/>
    <w:rsid w:val="009B382C"/>
    <w:rsid w:val="009B6029"/>
    <w:rsid w:val="009B6971"/>
    <w:rsid w:val="009B7125"/>
    <w:rsid w:val="009C27F1"/>
    <w:rsid w:val="009C3152"/>
    <w:rsid w:val="009C3257"/>
    <w:rsid w:val="009C4CFA"/>
    <w:rsid w:val="009C5070"/>
    <w:rsid w:val="009C7C31"/>
    <w:rsid w:val="009D112C"/>
    <w:rsid w:val="009D1385"/>
    <w:rsid w:val="009D47FA"/>
    <w:rsid w:val="009D4C5B"/>
    <w:rsid w:val="009D50D2"/>
    <w:rsid w:val="009D6BCA"/>
    <w:rsid w:val="009E0F62"/>
    <w:rsid w:val="009E4A58"/>
    <w:rsid w:val="009E4DBE"/>
    <w:rsid w:val="009E5A2D"/>
    <w:rsid w:val="009E5AB2"/>
    <w:rsid w:val="009E6219"/>
    <w:rsid w:val="009F03B3"/>
    <w:rsid w:val="009F146B"/>
    <w:rsid w:val="00A0096C"/>
    <w:rsid w:val="00A01757"/>
    <w:rsid w:val="00A02381"/>
    <w:rsid w:val="00A028C0"/>
    <w:rsid w:val="00A02BAE"/>
    <w:rsid w:val="00A0307A"/>
    <w:rsid w:val="00A045E0"/>
    <w:rsid w:val="00A06A6B"/>
    <w:rsid w:val="00A07E47"/>
    <w:rsid w:val="00A1151B"/>
    <w:rsid w:val="00A129D0"/>
    <w:rsid w:val="00A12C33"/>
    <w:rsid w:val="00A138BA"/>
    <w:rsid w:val="00A13F27"/>
    <w:rsid w:val="00A14A26"/>
    <w:rsid w:val="00A14C8E"/>
    <w:rsid w:val="00A153D9"/>
    <w:rsid w:val="00A15F09"/>
    <w:rsid w:val="00A169B6"/>
    <w:rsid w:val="00A2271D"/>
    <w:rsid w:val="00A237D5"/>
    <w:rsid w:val="00A30EFC"/>
    <w:rsid w:val="00A31984"/>
    <w:rsid w:val="00A32D73"/>
    <w:rsid w:val="00A3367B"/>
    <w:rsid w:val="00A33C67"/>
    <w:rsid w:val="00A3442B"/>
    <w:rsid w:val="00A3597D"/>
    <w:rsid w:val="00A36DD1"/>
    <w:rsid w:val="00A4006C"/>
    <w:rsid w:val="00A40091"/>
    <w:rsid w:val="00A4030F"/>
    <w:rsid w:val="00A41C79"/>
    <w:rsid w:val="00A41CB5"/>
    <w:rsid w:val="00A42BBA"/>
    <w:rsid w:val="00A42CDF"/>
    <w:rsid w:val="00A4452E"/>
    <w:rsid w:val="00A4472C"/>
    <w:rsid w:val="00A44E69"/>
    <w:rsid w:val="00A4661E"/>
    <w:rsid w:val="00A531C6"/>
    <w:rsid w:val="00A53C77"/>
    <w:rsid w:val="00A55BD6"/>
    <w:rsid w:val="00A55D50"/>
    <w:rsid w:val="00A56CDA"/>
    <w:rsid w:val="00A57142"/>
    <w:rsid w:val="00A648CD"/>
    <w:rsid w:val="00A6537A"/>
    <w:rsid w:val="00A67866"/>
    <w:rsid w:val="00A70B07"/>
    <w:rsid w:val="00A723F8"/>
    <w:rsid w:val="00A75402"/>
    <w:rsid w:val="00A77CCB"/>
    <w:rsid w:val="00A83D8D"/>
    <w:rsid w:val="00A8446B"/>
    <w:rsid w:val="00A8473F"/>
    <w:rsid w:val="00A862D6"/>
    <w:rsid w:val="00A86FDB"/>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C65E8"/>
    <w:rsid w:val="00AD0AEF"/>
    <w:rsid w:val="00AD11B7"/>
    <w:rsid w:val="00AD1A94"/>
    <w:rsid w:val="00AD1C05"/>
    <w:rsid w:val="00AD4126"/>
    <w:rsid w:val="00AD421C"/>
    <w:rsid w:val="00AD44FA"/>
    <w:rsid w:val="00AE070A"/>
    <w:rsid w:val="00AE101C"/>
    <w:rsid w:val="00AE1D77"/>
    <w:rsid w:val="00AE2A69"/>
    <w:rsid w:val="00AE37E5"/>
    <w:rsid w:val="00AE5727"/>
    <w:rsid w:val="00AE5EB4"/>
    <w:rsid w:val="00AF0C18"/>
    <w:rsid w:val="00AF47C5"/>
    <w:rsid w:val="00AF4933"/>
    <w:rsid w:val="00AF5398"/>
    <w:rsid w:val="00AF7320"/>
    <w:rsid w:val="00B01B0E"/>
    <w:rsid w:val="00B03D1E"/>
    <w:rsid w:val="00B049AF"/>
    <w:rsid w:val="00B07242"/>
    <w:rsid w:val="00B10534"/>
    <w:rsid w:val="00B113DB"/>
    <w:rsid w:val="00B11D8A"/>
    <w:rsid w:val="00B12981"/>
    <w:rsid w:val="00B147DD"/>
    <w:rsid w:val="00B156FD"/>
    <w:rsid w:val="00B16376"/>
    <w:rsid w:val="00B21F61"/>
    <w:rsid w:val="00B24EBD"/>
    <w:rsid w:val="00B261F1"/>
    <w:rsid w:val="00B265BC"/>
    <w:rsid w:val="00B31FB1"/>
    <w:rsid w:val="00B33952"/>
    <w:rsid w:val="00B33C5E"/>
    <w:rsid w:val="00B342F4"/>
    <w:rsid w:val="00B34369"/>
    <w:rsid w:val="00B34DC2"/>
    <w:rsid w:val="00B366B6"/>
    <w:rsid w:val="00B378E5"/>
    <w:rsid w:val="00B4346D"/>
    <w:rsid w:val="00B440F4"/>
    <w:rsid w:val="00B447A5"/>
    <w:rsid w:val="00B4654C"/>
    <w:rsid w:val="00B46770"/>
    <w:rsid w:val="00B46C43"/>
    <w:rsid w:val="00B47293"/>
    <w:rsid w:val="00B50077"/>
    <w:rsid w:val="00B50E50"/>
    <w:rsid w:val="00B52120"/>
    <w:rsid w:val="00B54ABC"/>
    <w:rsid w:val="00B56FBE"/>
    <w:rsid w:val="00B57B09"/>
    <w:rsid w:val="00B60ACF"/>
    <w:rsid w:val="00B62B58"/>
    <w:rsid w:val="00B65149"/>
    <w:rsid w:val="00B66567"/>
    <w:rsid w:val="00B66F52"/>
    <w:rsid w:val="00B66FE5"/>
    <w:rsid w:val="00B67200"/>
    <w:rsid w:val="00B71CC8"/>
    <w:rsid w:val="00B72880"/>
    <w:rsid w:val="00B74F3D"/>
    <w:rsid w:val="00B758BF"/>
    <w:rsid w:val="00B77EC8"/>
    <w:rsid w:val="00B8151C"/>
    <w:rsid w:val="00B827A6"/>
    <w:rsid w:val="00B831CE"/>
    <w:rsid w:val="00B8639C"/>
    <w:rsid w:val="00B86677"/>
    <w:rsid w:val="00B87131"/>
    <w:rsid w:val="00B939B1"/>
    <w:rsid w:val="00B94F52"/>
    <w:rsid w:val="00B96D40"/>
    <w:rsid w:val="00B97386"/>
    <w:rsid w:val="00BA263B"/>
    <w:rsid w:val="00BA42B2"/>
    <w:rsid w:val="00BA58D4"/>
    <w:rsid w:val="00BA5B9E"/>
    <w:rsid w:val="00BA601C"/>
    <w:rsid w:val="00BA7C9A"/>
    <w:rsid w:val="00BB013A"/>
    <w:rsid w:val="00BB078A"/>
    <w:rsid w:val="00BB5F8F"/>
    <w:rsid w:val="00BB657A"/>
    <w:rsid w:val="00BB6EB0"/>
    <w:rsid w:val="00BC1A4E"/>
    <w:rsid w:val="00BC3106"/>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201"/>
    <w:rsid w:val="00C04904"/>
    <w:rsid w:val="00C056B3"/>
    <w:rsid w:val="00C103E5"/>
    <w:rsid w:val="00C12887"/>
    <w:rsid w:val="00C13319"/>
    <w:rsid w:val="00C13EE9"/>
    <w:rsid w:val="00C17591"/>
    <w:rsid w:val="00C21540"/>
    <w:rsid w:val="00C21906"/>
    <w:rsid w:val="00C21BFA"/>
    <w:rsid w:val="00C24C8D"/>
    <w:rsid w:val="00C25FE2"/>
    <w:rsid w:val="00C26B53"/>
    <w:rsid w:val="00C27274"/>
    <w:rsid w:val="00C279B2"/>
    <w:rsid w:val="00C32452"/>
    <w:rsid w:val="00C33E50"/>
    <w:rsid w:val="00C34C20"/>
    <w:rsid w:val="00C35973"/>
    <w:rsid w:val="00C35A3E"/>
    <w:rsid w:val="00C35AE2"/>
    <w:rsid w:val="00C405C4"/>
    <w:rsid w:val="00C42130"/>
    <w:rsid w:val="00C423A4"/>
    <w:rsid w:val="00C423E3"/>
    <w:rsid w:val="00C44556"/>
    <w:rsid w:val="00C44BF5"/>
    <w:rsid w:val="00C510B9"/>
    <w:rsid w:val="00C521D6"/>
    <w:rsid w:val="00C55232"/>
    <w:rsid w:val="00C553A4"/>
    <w:rsid w:val="00C55A06"/>
    <w:rsid w:val="00C55D03"/>
    <w:rsid w:val="00C601BC"/>
    <w:rsid w:val="00C6329F"/>
    <w:rsid w:val="00C63340"/>
    <w:rsid w:val="00C643F9"/>
    <w:rsid w:val="00C64E95"/>
    <w:rsid w:val="00C71372"/>
    <w:rsid w:val="00C72410"/>
    <w:rsid w:val="00C7287F"/>
    <w:rsid w:val="00C76710"/>
    <w:rsid w:val="00C80CB8"/>
    <w:rsid w:val="00C819F8"/>
    <w:rsid w:val="00C820F7"/>
    <w:rsid w:val="00C8248C"/>
    <w:rsid w:val="00C84E33"/>
    <w:rsid w:val="00C86D6F"/>
    <w:rsid w:val="00C8744A"/>
    <w:rsid w:val="00C905FC"/>
    <w:rsid w:val="00C91A38"/>
    <w:rsid w:val="00C92D03"/>
    <w:rsid w:val="00C9319C"/>
    <w:rsid w:val="00C9435D"/>
    <w:rsid w:val="00C94DF2"/>
    <w:rsid w:val="00C96741"/>
    <w:rsid w:val="00CA249D"/>
    <w:rsid w:val="00CA2B0B"/>
    <w:rsid w:val="00CA2D1B"/>
    <w:rsid w:val="00CA375D"/>
    <w:rsid w:val="00CA662A"/>
    <w:rsid w:val="00CA7AFD"/>
    <w:rsid w:val="00CA7C3C"/>
    <w:rsid w:val="00CB0189"/>
    <w:rsid w:val="00CB0BA2"/>
    <w:rsid w:val="00CB1A42"/>
    <w:rsid w:val="00CB1B0C"/>
    <w:rsid w:val="00CB2995"/>
    <w:rsid w:val="00CB2C0B"/>
    <w:rsid w:val="00CB2C82"/>
    <w:rsid w:val="00CB517D"/>
    <w:rsid w:val="00CC038D"/>
    <w:rsid w:val="00CC08DB"/>
    <w:rsid w:val="00CC39FF"/>
    <w:rsid w:val="00CC3C2F"/>
    <w:rsid w:val="00CC4AC8"/>
    <w:rsid w:val="00CC5233"/>
    <w:rsid w:val="00CC5687"/>
    <w:rsid w:val="00CC5DE6"/>
    <w:rsid w:val="00CC6E4E"/>
    <w:rsid w:val="00CC6FE8"/>
    <w:rsid w:val="00CC7202"/>
    <w:rsid w:val="00CD2808"/>
    <w:rsid w:val="00CD28BF"/>
    <w:rsid w:val="00CD4092"/>
    <w:rsid w:val="00CD4A20"/>
    <w:rsid w:val="00CD50A1"/>
    <w:rsid w:val="00CD519E"/>
    <w:rsid w:val="00CE0C4F"/>
    <w:rsid w:val="00CE0CC4"/>
    <w:rsid w:val="00CE30EA"/>
    <w:rsid w:val="00CE43B9"/>
    <w:rsid w:val="00CF048A"/>
    <w:rsid w:val="00CF155A"/>
    <w:rsid w:val="00CF2947"/>
    <w:rsid w:val="00CF5785"/>
    <w:rsid w:val="00CF6148"/>
    <w:rsid w:val="00CF686F"/>
    <w:rsid w:val="00CF6E60"/>
    <w:rsid w:val="00CF7BCA"/>
    <w:rsid w:val="00D008FD"/>
    <w:rsid w:val="00D0321C"/>
    <w:rsid w:val="00D035EC"/>
    <w:rsid w:val="00D06AB1"/>
    <w:rsid w:val="00D06FC1"/>
    <w:rsid w:val="00D072ED"/>
    <w:rsid w:val="00D07A16"/>
    <w:rsid w:val="00D1020F"/>
    <w:rsid w:val="00D1067E"/>
    <w:rsid w:val="00D10F50"/>
    <w:rsid w:val="00D11272"/>
    <w:rsid w:val="00D126F5"/>
    <w:rsid w:val="00D1489E"/>
    <w:rsid w:val="00D20737"/>
    <w:rsid w:val="00D21E81"/>
    <w:rsid w:val="00D223DE"/>
    <w:rsid w:val="00D25E37"/>
    <w:rsid w:val="00D2661A"/>
    <w:rsid w:val="00D27582"/>
    <w:rsid w:val="00D27EC4"/>
    <w:rsid w:val="00D31E1C"/>
    <w:rsid w:val="00D32719"/>
    <w:rsid w:val="00D33333"/>
    <w:rsid w:val="00D352A2"/>
    <w:rsid w:val="00D4162B"/>
    <w:rsid w:val="00D4514F"/>
    <w:rsid w:val="00D451E2"/>
    <w:rsid w:val="00D45E89"/>
    <w:rsid w:val="00D45E8D"/>
    <w:rsid w:val="00D466AE"/>
    <w:rsid w:val="00D46FE8"/>
    <w:rsid w:val="00D4734F"/>
    <w:rsid w:val="00D510CF"/>
    <w:rsid w:val="00D51BF3"/>
    <w:rsid w:val="00D530F4"/>
    <w:rsid w:val="00D64EEE"/>
    <w:rsid w:val="00D66846"/>
    <w:rsid w:val="00D675FB"/>
    <w:rsid w:val="00D71F25"/>
    <w:rsid w:val="00D72A9C"/>
    <w:rsid w:val="00D77031"/>
    <w:rsid w:val="00D845EF"/>
    <w:rsid w:val="00D84941"/>
    <w:rsid w:val="00D84FA1"/>
    <w:rsid w:val="00D851F0"/>
    <w:rsid w:val="00D85F3B"/>
    <w:rsid w:val="00D86DB7"/>
    <w:rsid w:val="00D87BF5"/>
    <w:rsid w:val="00D90721"/>
    <w:rsid w:val="00D91AAA"/>
    <w:rsid w:val="00D926D0"/>
    <w:rsid w:val="00D93030"/>
    <w:rsid w:val="00D950E1"/>
    <w:rsid w:val="00D952A6"/>
    <w:rsid w:val="00D97F99"/>
    <w:rsid w:val="00DA1E08"/>
    <w:rsid w:val="00DA24F8"/>
    <w:rsid w:val="00DA28E8"/>
    <w:rsid w:val="00DA38D3"/>
    <w:rsid w:val="00DA3932"/>
    <w:rsid w:val="00DA3AFC"/>
    <w:rsid w:val="00DA4FA7"/>
    <w:rsid w:val="00DA64F8"/>
    <w:rsid w:val="00DA6C15"/>
    <w:rsid w:val="00DB0258"/>
    <w:rsid w:val="00DB2ADF"/>
    <w:rsid w:val="00DB38EE"/>
    <w:rsid w:val="00DB498B"/>
    <w:rsid w:val="00DB66CA"/>
    <w:rsid w:val="00DB6BCA"/>
    <w:rsid w:val="00DB6F54"/>
    <w:rsid w:val="00DB73F7"/>
    <w:rsid w:val="00DC0321"/>
    <w:rsid w:val="00DC3067"/>
    <w:rsid w:val="00DC370B"/>
    <w:rsid w:val="00DC5B90"/>
    <w:rsid w:val="00DD00FF"/>
    <w:rsid w:val="00DD0619"/>
    <w:rsid w:val="00DD07FB"/>
    <w:rsid w:val="00DD24C4"/>
    <w:rsid w:val="00DD25C6"/>
    <w:rsid w:val="00DD4FE5"/>
    <w:rsid w:val="00DD54B0"/>
    <w:rsid w:val="00DD57EE"/>
    <w:rsid w:val="00DD667B"/>
    <w:rsid w:val="00DD6BCC"/>
    <w:rsid w:val="00DE0A4B"/>
    <w:rsid w:val="00DE2410"/>
    <w:rsid w:val="00DE2939"/>
    <w:rsid w:val="00DE36BF"/>
    <w:rsid w:val="00DE4696"/>
    <w:rsid w:val="00DE6E81"/>
    <w:rsid w:val="00DE703F"/>
    <w:rsid w:val="00DE7595"/>
    <w:rsid w:val="00DF1961"/>
    <w:rsid w:val="00DF41B6"/>
    <w:rsid w:val="00DF44DE"/>
    <w:rsid w:val="00E01138"/>
    <w:rsid w:val="00E02DFB"/>
    <w:rsid w:val="00E030F9"/>
    <w:rsid w:val="00E0311A"/>
    <w:rsid w:val="00E03138"/>
    <w:rsid w:val="00E03F95"/>
    <w:rsid w:val="00E06404"/>
    <w:rsid w:val="00E10DB2"/>
    <w:rsid w:val="00E11A85"/>
    <w:rsid w:val="00E12495"/>
    <w:rsid w:val="00E15CCD"/>
    <w:rsid w:val="00E202EF"/>
    <w:rsid w:val="00E210B5"/>
    <w:rsid w:val="00E2552F"/>
    <w:rsid w:val="00E25B09"/>
    <w:rsid w:val="00E304BB"/>
    <w:rsid w:val="00E3137A"/>
    <w:rsid w:val="00E31478"/>
    <w:rsid w:val="00E32CCF"/>
    <w:rsid w:val="00E34A98"/>
    <w:rsid w:val="00E35D1E"/>
    <w:rsid w:val="00E364F9"/>
    <w:rsid w:val="00E365FA"/>
    <w:rsid w:val="00E36789"/>
    <w:rsid w:val="00E403D9"/>
    <w:rsid w:val="00E44221"/>
    <w:rsid w:val="00E44A83"/>
    <w:rsid w:val="00E502C1"/>
    <w:rsid w:val="00E502DD"/>
    <w:rsid w:val="00E50D3A"/>
    <w:rsid w:val="00E51387"/>
    <w:rsid w:val="00E51E68"/>
    <w:rsid w:val="00E52EFD"/>
    <w:rsid w:val="00E5408A"/>
    <w:rsid w:val="00E56800"/>
    <w:rsid w:val="00E569AD"/>
    <w:rsid w:val="00E60C63"/>
    <w:rsid w:val="00E61AB1"/>
    <w:rsid w:val="00E62FF9"/>
    <w:rsid w:val="00E635D6"/>
    <w:rsid w:val="00E639BC"/>
    <w:rsid w:val="00E664CC"/>
    <w:rsid w:val="00E70388"/>
    <w:rsid w:val="00E70F92"/>
    <w:rsid w:val="00E711FF"/>
    <w:rsid w:val="00E74313"/>
    <w:rsid w:val="00E74C54"/>
    <w:rsid w:val="00E77A03"/>
    <w:rsid w:val="00E8092B"/>
    <w:rsid w:val="00E822E8"/>
    <w:rsid w:val="00E82554"/>
    <w:rsid w:val="00E82606"/>
    <w:rsid w:val="00E831C1"/>
    <w:rsid w:val="00E846C8"/>
    <w:rsid w:val="00E84957"/>
    <w:rsid w:val="00E84A55"/>
    <w:rsid w:val="00E852AF"/>
    <w:rsid w:val="00E85BFF"/>
    <w:rsid w:val="00E90391"/>
    <w:rsid w:val="00E906C2"/>
    <w:rsid w:val="00E9311F"/>
    <w:rsid w:val="00E934D1"/>
    <w:rsid w:val="00E94AF0"/>
    <w:rsid w:val="00E95D13"/>
    <w:rsid w:val="00E95DD3"/>
    <w:rsid w:val="00E969D5"/>
    <w:rsid w:val="00EA041E"/>
    <w:rsid w:val="00EA58D1"/>
    <w:rsid w:val="00EA61BC"/>
    <w:rsid w:val="00EA681A"/>
    <w:rsid w:val="00EA6CF6"/>
    <w:rsid w:val="00EA735B"/>
    <w:rsid w:val="00EB0CC8"/>
    <w:rsid w:val="00EB1E69"/>
    <w:rsid w:val="00EB2086"/>
    <w:rsid w:val="00EB31ED"/>
    <w:rsid w:val="00EB5A28"/>
    <w:rsid w:val="00EB5EDF"/>
    <w:rsid w:val="00EB60FE"/>
    <w:rsid w:val="00EB63CD"/>
    <w:rsid w:val="00EB74DB"/>
    <w:rsid w:val="00EC5051"/>
    <w:rsid w:val="00EC5359"/>
    <w:rsid w:val="00EC562A"/>
    <w:rsid w:val="00ED067A"/>
    <w:rsid w:val="00ED2B50"/>
    <w:rsid w:val="00EE0350"/>
    <w:rsid w:val="00EE0719"/>
    <w:rsid w:val="00EE0E80"/>
    <w:rsid w:val="00EE613F"/>
    <w:rsid w:val="00EE7295"/>
    <w:rsid w:val="00EE7869"/>
    <w:rsid w:val="00EF054A"/>
    <w:rsid w:val="00EF07CF"/>
    <w:rsid w:val="00EF0F18"/>
    <w:rsid w:val="00EF3235"/>
    <w:rsid w:val="00EF376A"/>
    <w:rsid w:val="00EF536E"/>
    <w:rsid w:val="00EF7E72"/>
    <w:rsid w:val="00F0693C"/>
    <w:rsid w:val="00F06D37"/>
    <w:rsid w:val="00F07B9D"/>
    <w:rsid w:val="00F11586"/>
    <w:rsid w:val="00F1183B"/>
    <w:rsid w:val="00F11C9F"/>
    <w:rsid w:val="00F120B6"/>
    <w:rsid w:val="00F12263"/>
    <w:rsid w:val="00F12314"/>
    <w:rsid w:val="00F1409D"/>
    <w:rsid w:val="00F14214"/>
    <w:rsid w:val="00F157A9"/>
    <w:rsid w:val="00F16F00"/>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571CF"/>
    <w:rsid w:val="00F6089A"/>
    <w:rsid w:val="00F6194E"/>
    <w:rsid w:val="00F623AC"/>
    <w:rsid w:val="00F6412A"/>
    <w:rsid w:val="00F65893"/>
    <w:rsid w:val="00F66671"/>
    <w:rsid w:val="00F66A4A"/>
    <w:rsid w:val="00F66B1B"/>
    <w:rsid w:val="00F71E22"/>
    <w:rsid w:val="00F72142"/>
    <w:rsid w:val="00F72AE7"/>
    <w:rsid w:val="00F75581"/>
    <w:rsid w:val="00F775B4"/>
    <w:rsid w:val="00F833BA"/>
    <w:rsid w:val="00F84FD0"/>
    <w:rsid w:val="00F859A8"/>
    <w:rsid w:val="00F86D87"/>
    <w:rsid w:val="00F87354"/>
    <w:rsid w:val="00F9108B"/>
    <w:rsid w:val="00F91349"/>
    <w:rsid w:val="00F93A8A"/>
    <w:rsid w:val="00F946BC"/>
    <w:rsid w:val="00F95248"/>
    <w:rsid w:val="00F956A9"/>
    <w:rsid w:val="00F95FB3"/>
    <w:rsid w:val="00F963ED"/>
    <w:rsid w:val="00F966CF"/>
    <w:rsid w:val="00F96CAE"/>
    <w:rsid w:val="00F97C99"/>
    <w:rsid w:val="00FA0C85"/>
    <w:rsid w:val="00FA662D"/>
    <w:rsid w:val="00FA73B1"/>
    <w:rsid w:val="00FB0CB9"/>
    <w:rsid w:val="00FB1F22"/>
    <w:rsid w:val="00FB231D"/>
    <w:rsid w:val="00FB45F1"/>
    <w:rsid w:val="00FB4A72"/>
    <w:rsid w:val="00FB54E8"/>
    <w:rsid w:val="00FB6227"/>
    <w:rsid w:val="00FB7054"/>
    <w:rsid w:val="00FC17B7"/>
    <w:rsid w:val="00FC2260"/>
    <w:rsid w:val="00FC2CB7"/>
    <w:rsid w:val="00FC4090"/>
    <w:rsid w:val="00FC55B4"/>
    <w:rsid w:val="00FC649C"/>
    <w:rsid w:val="00FC68E6"/>
    <w:rsid w:val="00FD00E6"/>
    <w:rsid w:val="00FD09A1"/>
    <w:rsid w:val="00FD2297"/>
    <w:rsid w:val="00FD2A7C"/>
    <w:rsid w:val="00FD59EB"/>
    <w:rsid w:val="00FD6C6D"/>
    <w:rsid w:val="00FD6DAD"/>
    <w:rsid w:val="00FD7299"/>
    <w:rsid w:val="00FE1FBE"/>
    <w:rsid w:val="00FE3901"/>
    <w:rsid w:val="00FE39D3"/>
    <w:rsid w:val="00FE4BCE"/>
    <w:rsid w:val="00FE4BF2"/>
    <w:rsid w:val="00FE54AE"/>
    <w:rsid w:val="00FE576A"/>
    <w:rsid w:val="00FE59F0"/>
    <w:rsid w:val="00FE7E79"/>
    <w:rsid w:val="00FF3E7D"/>
    <w:rsid w:val="00FF5B99"/>
    <w:rsid w:val="00FF6BC5"/>
    <w:rsid w:val="00FF730C"/>
    <w:rsid w:val="00FF73F4"/>
    <w:rsid w:val="00FF7CE4"/>
    <w:rsid w:val="00FF7E39"/>
    <w:rsid w:val="01D6734A"/>
    <w:rsid w:val="026954E1"/>
    <w:rsid w:val="02B56978"/>
    <w:rsid w:val="02C44E0D"/>
    <w:rsid w:val="02D432A2"/>
    <w:rsid w:val="031713E0"/>
    <w:rsid w:val="03936CB9"/>
    <w:rsid w:val="03C77256"/>
    <w:rsid w:val="042518DB"/>
    <w:rsid w:val="04FF212C"/>
    <w:rsid w:val="054B35C3"/>
    <w:rsid w:val="061B292E"/>
    <w:rsid w:val="062005AC"/>
    <w:rsid w:val="07A32772"/>
    <w:rsid w:val="07EA70C4"/>
    <w:rsid w:val="08760957"/>
    <w:rsid w:val="092108C3"/>
    <w:rsid w:val="093F52F5"/>
    <w:rsid w:val="0CA737D5"/>
    <w:rsid w:val="0DA63A8D"/>
    <w:rsid w:val="0DDE4FD5"/>
    <w:rsid w:val="0E7D2A40"/>
    <w:rsid w:val="0EF10D38"/>
    <w:rsid w:val="0F501F02"/>
    <w:rsid w:val="10030D22"/>
    <w:rsid w:val="105772C0"/>
    <w:rsid w:val="10B63FE7"/>
    <w:rsid w:val="114E421F"/>
    <w:rsid w:val="126B0E01"/>
    <w:rsid w:val="128C31CA"/>
    <w:rsid w:val="12E0359D"/>
    <w:rsid w:val="1407341B"/>
    <w:rsid w:val="15543DCE"/>
    <w:rsid w:val="1658169C"/>
    <w:rsid w:val="17214184"/>
    <w:rsid w:val="17655F47"/>
    <w:rsid w:val="188E3A9B"/>
    <w:rsid w:val="1940403A"/>
    <w:rsid w:val="19461C80"/>
    <w:rsid w:val="199155F1"/>
    <w:rsid w:val="19A55065"/>
    <w:rsid w:val="19CE05F3"/>
    <w:rsid w:val="1A202E67"/>
    <w:rsid w:val="1AC83294"/>
    <w:rsid w:val="1B8D3B96"/>
    <w:rsid w:val="1CF10D56"/>
    <w:rsid w:val="1D295B40"/>
    <w:rsid w:val="1D3729C0"/>
    <w:rsid w:val="1DC00253"/>
    <w:rsid w:val="1EFA3C38"/>
    <w:rsid w:val="1F090F0F"/>
    <w:rsid w:val="200D799B"/>
    <w:rsid w:val="20BA367F"/>
    <w:rsid w:val="21561917"/>
    <w:rsid w:val="22116ED8"/>
    <w:rsid w:val="223420A4"/>
    <w:rsid w:val="22394A78"/>
    <w:rsid w:val="233A3648"/>
    <w:rsid w:val="240E0568"/>
    <w:rsid w:val="24C71E42"/>
    <w:rsid w:val="25E847EB"/>
    <w:rsid w:val="26282E39"/>
    <w:rsid w:val="264439EB"/>
    <w:rsid w:val="266145B7"/>
    <w:rsid w:val="26CD39E1"/>
    <w:rsid w:val="27332FEE"/>
    <w:rsid w:val="28164F13"/>
    <w:rsid w:val="28AD77AE"/>
    <w:rsid w:val="28D41056"/>
    <w:rsid w:val="2A983447"/>
    <w:rsid w:val="2AB70C30"/>
    <w:rsid w:val="2B1725AC"/>
    <w:rsid w:val="2BE42462"/>
    <w:rsid w:val="2C526E62"/>
    <w:rsid w:val="2C5F157F"/>
    <w:rsid w:val="2C723060"/>
    <w:rsid w:val="2CAE1BBE"/>
    <w:rsid w:val="2DEA131C"/>
    <w:rsid w:val="2ECE6548"/>
    <w:rsid w:val="2F15242A"/>
    <w:rsid w:val="300264A9"/>
    <w:rsid w:val="30085A89"/>
    <w:rsid w:val="312D39F9"/>
    <w:rsid w:val="31AD669F"/>
    <w:rsid w:val="31E56082"/>
    <w:rsid w:val="32F01183"/>
    <w:rsid w:val="342C61EA"/>
    <w:rsid w:val="34C603ED"/>
    <w:rsid w:val="358F5BF0"/>
    <w:rsid w:val="35F2642D"/>
    <w:rsid w:val="36105698"/>
    <w:rsid w:val="362C026F"/>
    <w:rsid w:val="36A54032"/>
    <w:rsid w:val="36C95F72"/>
    <w:rsid w:val="36E11D83"/>
    <w:rsid w:val="384B29B7"/>
    <w:rsid w:val="386A46AA"/>
    <w:rsid w:val="38C904AC"/>
    <w:rsid w:val="391F631E"/>
    <w:rsid w:val="3A39340F"/>
    <w:rsid w:val="3A8829E6"/>
    <w:rsid w:val="3C577B7C"/>
    <w:rsid w:val="3D622C7D"/>
    <w:rsid w:val="3D9E381A"/>
    <w:rsid w:val="3F584337"/>
    <w:rsid w:val="3FBB0422"/>
    <w:rsid w:val="40381640"/>
    <w:rsid w:val="403A3A3D"/>
    <w:rsid w:val="40C31C84"/>
    <w:rsid w:val="40D75730"/>
    <w:rsid w:val="41A90E7A"/>
    <w:rsid w:val="41F560D9"/>
    <w:rsid w:val="428E1E1E"/>
    <w:rsid w:val="429278AA"/>
    <w:rsid w:val="43E91A02"/>
    <w:rsid w:val="4416031D"/>
    <w:rsid w:val="445D419E"/>
    <w:rsid w:val="45C25319"/>
    <w:rsid w:val="47451645"/>
    <w:rsid w:val="47E04ECA"/>
    <w:rsid w:val="48547666"/>
    <w:rsid w:val="494C7225"/>
    <w:rsid w:val="498D72D3"/>
    <w:rsid w:val="49B546BE"/>
    <w:rsid w:val="49C16F7D"/>
    <w:rsid w:val="49D97E23"/>
    <w:rsid w:val="49E62540"/>
    <w:rsid w:val="4A6F2395"/>
    <w:rsid w:val="4A981A8C"/>
    <w:rsid w:val="4AAE4BF5"/>
    <w:rsid w:val="4B0E7FA0"/>
    <w:rsid w:val="4BFA0524"/>
    <w:rsid w:val="4BFC604B"/>
    <w:rsid w:val="4C07336D"/>
    <w:rsid w:val="4C995F8F"/>
    <w:rsid w:val="4DD74FC1"/>
    <w:rsid w:val="4E0B218A"/>
    <w:rsid w:val="4E2B0E69"/>
    <w:rsid w:val="4EAF3848"/>
    <w:rsid w:val="4F8A26FC"/>
    <w:rsid w:val="504C24BB"/>
    <w:rsid w:val="50630E9A"/>
    <w:rsid w:val="51897D37"/>
    <w:rsid w:val="519D7232"/>
    <w:rsid w:val="52014570"/>
    <w:rsid w:val="52F97788"/>
    <w:rsid w:val="54A6749B"/>
    <w:rsid w:val="5503669C"/>
    <w:rsid w:val="559B0682"/>
    <w:rsid w:val="55AA4DBE"/>
    <w:rsid w:val="55CA33E4"/>
    <w:rsid w:val="56662DB5"/>
    <w:rsid w:val="56E85B49"/>
    <w:rsid w:val="5898359F"/>
    <w:rsid w:val="58DC16DE"/>
    <w:rsid w:val="59282B75"/>
    <w:rsid w:val="5A04780C"/>
    <w:rsid w:val="5AEB3E5A"/>
    <w:rsid w:val="5B611B7F"/>
    <w:rsid w:val="5B7E3C04"/>
    <w:rsid w:val="5B912B48"/>
    <w:rsid w:val="5B9718EC"/>
    <w:rsid w:val="5BE56AFB"/>
    <w:rsid w:val="5CE84AF5"/>
    <w:rsid w:val="5D437F7D"/>
    <w:rsid w:val="5D5F28DD"/>
    <w:rsid w:val="5DDB6408"/>
    <w:rsid w:val="5E0E058B"/>
    <w:rsid w:val="5E324AF8"/>
    <w:rsid w:val="60F021CA"/>
    <w:rsid w:val="612B1454"/>
    <w:rsid w:val="61C471B3"/>
    <w:rsid w:val="62AC0373"/>
    <w:rsid w:val="62F45876"/>
    <w:rsid w:val="62F835B8"/>
    <w:rsid w:val="64422BB3"/>
    <w:rsid w:val="65165F77"/>
    <w:rsid w:val="65556AA0"/>
    <w:rsid w:val="65EC70B5"/>
    <w:rsid w:val="66BB0B84"/>
    <w:rsid w:val="66ED0F5A"/>
    <w:rsid w:val="66F10A4A"/>
    <w:rsid w:val="68356714"/>
    <w:rsid w:val="68B4004B"/>
    <w:rsid w:val="6905258B"/>
    <w:rsid w:val="69190A3A"/>
    <w:rsid w:val="69A70F71"/>
    <w:rsid w:val="6A257F8C"/>
    <w:rsid w:val="6AF732A2"/>
    <w:rsid w:val="6AFC5C0F"/>
    <w:rsid w:val="6BCA1F8B"/>
    <w:rsid w:val="6BE65440"/>
    <w:rsid w:val="6CF176B2"/>
    <w:rsid w:val="6DF17581"/>
    <w:rsid w:val="700C06A3"/>
    <w:rsid w:val="70194B6E"/>
    <w:rsid w:val="7056191E"/>
    <w:rsid w:val="71905B61"/>
    <w:rsid w:val="720A6E64"/>
    <w:rsid w:val="723932A5"/>
    <w:rsid w:val="7298446F"/>
    <w:rsid w:val="72E72D01"/>
    <w:rsid w:val="73CA0659"/>
    <w:rsid w:val="75A80AB4"/>
    <w:rsid w:val="75E30307"/>
    <w:rsid w:val="76044F83"/>
    <w:rsid w:val="762572BD"/>
    <w:rsid w:val="76AC04E9"/>
    <w:rsid w:val="76AF149E"/>
    <w:rsid w:val="76C21ABB"/>
    <w:rsid w:val="7711110F"/>
    <w:rsid w:val="77811976"/>
    <w:rsid w:val="788C2381"/>
    <w:rsid w:val="79A670BB"/>
    <w:rsid w:val="79E41D48"/>
    <w:rsid w:val="79ED6E4F"/>
    <w:rsid w:val="79FF5331"/>
    <w:rsid w:val="7A1940E8"/>
    <w:rsid w:val="7A1F7224"/>
    <w:rsid w:val="7A8E471C"/>
    <w:rsid w:val="7AC75BFA"/>
    <w:rsid w:val="7B3469CF"/>
    <w:rsid w:val="7BBB040A"/>
    <w:rsid w:val="7C397120"/>
    <w:rsid w:val="7C3C40BE"/>
    <w:rsid w:val="7D8D727A"/>
    <w:rsid w:val="7F390D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6"/>
    <w:qFormat/>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99"/>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autoRedefine/>
    <w:unhideWhenUsed/>
    <w:qFormat/>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22"/>
    <w:rPr>
      <w:b/>
      <w:bCs/>
    </w:rPr>
  </w:style>
  <w:style w:type="character" w:styleId="30">
    <w:name w:val="page number"/>
    <w:qFormat/>
    <w:uiPriority w:val="0"/>
    <w:rPr>
      <w:rFonts w:ascii="宋体" w:hAnsi="Times New Roman" w:eastAsia="宋体"/>
      <w:sz w:val="18"/>
    </w:rPr>
  </w:style>
  <w:style w:type="character" w:styleId="31">
    <w:name w:val="Emphasis"/>
    <w:qFormat/>
    <w:uiPriority w:val="20"/>
    <w:rPr>
      <w:i/>
      <w:iCs/>
    </w:rPr>
  </w:style>
  <w:style w:type="character" w:styleId="32">
    <w:name w:val="Hyperlink"/>
    <w:qFormat/>
    <w:uiPriority w:val="99"/>
    <w:rPr>
      <w:rFonts w:ascii="宋体" w:hAnsi="Times New Roman" w:eastAsia="宋体"/>
      <w:color w:val="auto"/>
      <w:spacing w:val="0"/>
      <w:w w:val="100"/>
      <w:position w:val="0"/>
      <w:sz w:val="21"/>
      <w:u w:val="none"/>
      <w:vertAlign w:val="baseline"/>
    </w:rPr>
  </w:style>
  <w:style w:type="character" w:styleId="33">
    <w:name w:val="footnote reference"/>
    <w:semiHidden/>
    <w:qFormat/>
    <w:uiPriority w:val="0"/>
    <w:rPr>
      <w:rFonts w:ascii="宋体" w:hAnsi="宋体" w:eastAsia="宋体" w:cs="Times New Roman"/>
      <w:spacing w:val="0"/>
      <w:sz w:val="18"/>
      <w:vertAlign w:val="superscript"/>
    </w:rPr>
  </w:style>
  <w:style w:type="character" w:customStyle="1" w:styleId="34">
    <w:name w:val="标题 1 字符"/>
    <w:link w:val="2"/>
    <w:qFormat/>
    <w:uiPriority w:val="0"/>
    <w:rPr>
      <w:b/>
      <w:bCs/>
      <w:kern w:val="44"/>
      <w:sz w:val="44"/>
      <w:szCs w:val="44"/>
    </w:rPr>
  </w:style>
  <w:style w:type="character" w:customStyle="1" w:styleId="35">
    <w:name w:val="标题 2 字符"/>
    <w:link w:val="3"/>
    <w:qFormat/>
    <w:uiPriority w:val="0"/>
    <w:rPr>
      <w:rFonts w:ascii="Arial" w:hAnsi="Arial" w:eastAsia="黑体"/>
      <w:b/>
      <w:bCs/>
      <w:kern w:val="2"/>
      <w:sz w:val="32"/>
      <w:szCs w:val="32"/>
    </w:rPr>
  </w:style>
  <w:style w:type="character" w:customStyle="1" w:styleId="36">
    <w:name w:val="标题 3 字符"/>
    <w:link w:val="4"/>
    <w:qFormat/>
    <w:uiPriority w:val="0"/>
    <w:rPr>
      <w:b/>
      <w:bCs/>
      <w:kern w:val="2"/>
      <w:sz w:val="32"/>
      <w:szCs w:val="32"/>
    </w:rPr>
  </w:style>
  <w:style w:type="character" w:customStyle="1" w:styleId="37">
    <w:name w:val="标题 4 字符"/>
    <w:link w:val="5"/>
    <w:qFormat/>
    <w:uiPriority w:val="0"/>
    <w:rPr>
      <w:rFonts w:ascii="Arial" w:hAnsi="Arial" w:eastAsia="黑体"/>
      <w:b/>
      <w:bCs/>
      <w:kern w:val="2"/>
      <w:sz w:val="28"/>
      <w:szCs w:val="28"/>
    </w:rPr>
  </w:style>
  <w:style w:type="character" w:customStyle="1" w:styleId="38">
    <w:name w:val="标题 5 字符"/>
    <w:link w:val="6"/>
    <w:qFormat/>
    <w:uiPriority w:val="0"/>
    <w:rPr>
      <w:b/>
      <w:bCs/>
      <w:kern w:val="2"/>
      <w:sz w:val="28"/>
      <w:szCs w:val="28"/>
    </w:rPr>
  </w:style>
  <w:style w:type="character" w:customStyle="1" w:styleId="39">
    <w:name w:val="标题 6 字符"/>
    <w:link w:val="7"/>
    <w:qFormat/>
    <w:uiPriority w:val="0"/>
    <w:rPr>
      <w:rFonts w:ascii="Arial" w:hAnsi="Arial" w:eastAsia="黑体"/>
      <w:b/>
      <w:bCs/>
      <w:kern w:val="2"/>
      <w:sz w:val="24"/>
      <w:szCs w:val="24"/>
    </w:rPr>
  </w:style>
  <w:style w:type="character" w:customStyle="1" w:styleId="40">
    <w:name w:val="标题 7 字符"/>
    <w:link w:val="8"/>
    <w:qFormat/>
    <w:uiPriority w:val="0"/>
    <w:rPr>
      <w:b/>
      <w:bCs/>
      <w:kern w:val="2"/>
      <w:sz w:val="24"/>
      <w:szCs w:val="24"/>
    </w:rPr>
  </w:style>
  <w:style w:type="character" w:customStyle="1" w:styleId="41">
    <w:name w:val="标题 8 字符"/>
    <w:link w:val="9"/>
    <w:qFormat/>
    <w:uiPriority w:val="0"/>
    <w:rPr>
      <w:rFonts w:ascii="Arial" w:hAnsi="Arial" w:eastAsia="黑体"/>
      <w:kern w:val="2"/>
      <w:sz w:val="24"/>
      <w:szCs w:val="24"/>
    </w:rPr>
  </w:style>
  <w:style w:type="character" w:customStyle="1" w:styleId="42">
    <w:name w:val="标题 9 字符"/>
    <w:link w:val="10"/>
    <w:qFormat/>
    <w:uiPriority w:val="0"/>
    <w:rPr>
      <w:rFonts w:ascii="Arial" w:hAnsi="Arial" w:eastAsia="黑体"/>
      <w:kern w:val="2"/>
      <w:sz w:val="21"/>
      <w:szCs w:val="21"/>
    </w:rPr>
  </w:style>
  <w:style w:type="character" w:customStyle="1" w:styleId="43">
    <w:name w:val="页眉 字符"/>
    <w:link w:val="18"/>
    <w:qFormat/>
    <w:uiPriority w:val="99"/>
    <w:rPr>
      <w:kern w:val="2"/>
      <w:sz w:val="18"/>
      <w:szCs w:val="18"/>
    </w:rPr>
  </w:style>
  <w:style w:type="character" w:customStyle="1" w:styleId="44">
    <w:name w:val="页脚 字符"/>
    <w:link w:val="17"/>
    <w:qFormat/>
    <w:uiPriority w:val="99"/>
    <w:rPr>
      <w:rFonts w:ascii="宋体"/>
      <w:kern w:val="2"/>
      <w:sz w:val="18"/>
      <w:szCs w:val="18"/>
    </w:rPr>
  </w:style>
  <w:style w:type="character" w:customStyle="1" w:styleId="45">
    <w:name w:val="批注框文本 字符"/>
    <w:link w:val="16"/>
    <w:semiHidden/>
    <w:qFormat/>
    <w:uiPriority w:val="99"/>
    <w:rPr>
      <w:kern w:val="2"/>
      <w:sz w:val="18"/>
      <w:szCs w:val="18"/>
    </w:rPr>
  </w:style>
  <w:style w:type="paragraph" w:styleId="46">
    <w:name w:val="Quote"/>
    <w:basedOn w:val="1"/>
    <w:next w:val="1"/>
    <w:link w:val="47"/>
    <w:qFormat/>
    <w:uiPriority w:val="29"/>
    <w:rPr>
      <w:i/>
      <w:iCs/>
      <w:color w:val="000000"/>
    </w:rPr>
  </w:style>
  <w:style w:type="character" w:customStyle="1" w:styleId="47">
    <w:name w:val="引用 字符"/>
    <w:link w:val="46"/>
    <w:qFormat/>
    <w:uiPriority w:val="29"/>
    <w:rPr>
      <w:i/>
      <w:iCs/>
      <w:color w:val="000000"/>
      <w:kern w:val="2"/>
      <w:sz w:val="21"/>
      <w:szCs w:val="21"/>
    </w:rPr>
  </w:style>
  <w:style w:type="character" w:customStyle="1" w:styleId="48">
    <w:name w:val="标题 字符"/>
    <w:link w:val="25"/>
    <w:qFormat/>
    <w:uiPriority w:val="0"/>
    <w:rPr>
      <w:rFonts w:ascii="Arial" w:hAnsi="Arial" w:cs="Arial"/>
      <w:b/>
      <w:bCs/>
      <w:kern w:val="2"/>
      <w:sz w:val="32"/>
      <w:szCs w:val="32"/>
    </w:rPr>
  </w:style>
  <w:style w:type="paragraph" w:customStyle="1" w:styleId="49">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2">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qFormat/>
    <w:uiPriority w:val="0"/>
    <w:pPr>
      <w:jc w:val="both"/>
    </w:pPr>
    <w:rPr>
      <w:rFonts w:ascii="Times New Roman" w:hAnsi="Times New Roman" w:eastAsia="宋体" w:cs="Times New Roman"/>
      <w:lang w:val="en-US" w:eastAsia="zh-CN" w:bidi="ar-SA"/>
    </w:rPr>
  </w:style>
  <w:style w:type="paragraph" w:customStyle="1" w:styleId="54">
    <w:name w:val="标准文件_ICS"/>
    <w:basedOn w:val="1"/>
    <w:qFormat/>
    <w:uiPriority w:val="0"/>
    <w:pPr>
      <w:spacing w:line="0" w:lineRule="atLeast"/>
    </w:pPr>
    <w:rPr>
      <w:rFonts w:ascii="黑体" w:hAnsi="宋体" w:eastAsia="黑体"/>
    </w:rPr>
  </w:style>
  <w:style w:type="paragraph" w:customStyle="1" w:styleId="55">
    <w:name w:val="标准文件_标准正文"/>
    <w:basedOn w:val="1"/>
    <w:next w:val="56"/>
    <w:qFormat/>
    <w:uiPriority w:val="0"/>
    <w:pPr>
      <w:snapToGrid w:val="0"/>
      <w:ind w:firstLine="200" w:firstLineChars="200"/>
    </w:pPr>
    <w:rPr>
      <w:kern w:val="0"/>
    </w:rPr>
  </w:style>
  <w:style w:type="paragraph" w:customStyle="1" w:styleId="56">
    <w:name w:val="标准文件_段"/>
    <w:link w:val="18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版本"/>
    <w:basedOn w:val="55"/>
    <w:qFormat/>
    <w:uiPriority w:val="0"/>
    <w:pPr>
      <w:adjustRightInd/>
      <w:snapToGrid/>
      <w:ind w:firstLine="0" w:firstLineChars="0"/>
    </w:pPr>
    <w:rPr>
      <w:rFonts w:ascii="宋体" w:hAnsi="宋体"/>
      <w:kern w:val="2"/>
    </w:rPr>
  </w:style>
  <w:style w:type="paragraph" w:customStyle="1" w:styleId="58">
    <w:name w:val="标准文件_标准部门"/>
    <w:basedOn w:val="1"/>
    <w:qFormat/>
    <w:uiPriority w:val="0"/>
    <w:pPr>
      <w:jc w:val="center"/>
    </w:pPr>
    <w:rPr>
      <w:rFonts w:ascii="黑体" w:eastAsia="黑体"/>
      <w:kern w:val="0"/>
      <w:sz w:val="44"/>
    </w:rPr>
  </w:style>
  <w:style w:type="paragraph" w:customStyle="1" w:styleId="59">
    <w:name w:val="标准文件_标准代替"/>
    <w:basedOn w:val="1"/>
    <w:next w:val="1"/>
    <w:qFormat/>
    <w:uiPriority w:val="0"/>
    <w:pPr>
      <w:spacing w:line="310" w:lineRule="exact"/>
      <w:jc w:val="right"/>
    </w:pPr>
    <w:rPr>
      <w:rFonts w:ascii="宋体" w:hAnsi="宋体"/>
      <w:kern w:val="0"/>
    </w:rPr>
  </w:style>
  <w:style w:type="paragraph" w:customStyle="1" w:styleId="60">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qFormat/>
    <w:uiPriority w:val="0"/>
    <w:pPr>
      <w:jc w:val="left"/>
    </w:pPr>
  </w:style>
  <w:style w:type="paragraph" w:customStyle="1" w:styleId="63">
    <w:name w:val="标准文件_参考文献标题"/>
    <w:basedOn w:val="1"/>
    <w:next w:val="1"/>
    <w:qFormat/>
    <w:uiPriority w:val="0"/>
    <w:pPr>
      <w:widowControl/>
      <w:shd w:val="clear" w:color="FFFFFF" w:fill="FFFFFF"/>
      <w:adjustRightInd/>
      <w:spacing w:before="560" w:after="50" w:afterLines="50" w:line="240" w:lineRule="auto"/>
      <w:jc w:val="center"/>
      <w:outlineLvl w:val="0"/>
    </w:pPr>
    <w:rPr>
      <w:rFonts w:ascii="黑体" w:eastAsia="黑体"/>
      <w:kern w:val="0"/>
    </w:rPr>
  </w:style>
  <w:style w:type="paragraph" w:customStyle="1" w:styleId="64">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99"/>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6">
    <w:name w:val="标准文件_发布"/>
    <w:qFormat/>
    <w:uiPriority w:val="0"/>
    <w:rPr>
      <w:rFonts w:ascii="黑体" w:eastAsia="黑体"/>
      <w:spacing w:val="0"/>
      <w:w w:val="100"/>
      <w:position w:val="3"/>
      <w:sz w:val="28"/>
    </w:rPr>
  </w:style>
  <w:style w:type="paragraph" w:customStyle="1" w:styleId="67">
    <w:name w:val="标准文件_方框数字列项"/>
    <w:basedOn w:val="56"/>
    <w:qFormat/>
    <w:uiPriority w:val="0"/>
    <w:pPr>
      <w:numPr>
        <w:ilvl w:val="0"/>
        <w:numId w:val="3"/>
      </w:numPr>
      <w:ind w:firstLine="0" w:firstLineChars="0"/>
    </w:pPr>
  </w:style>
  <w:style w:type="paragraph" w:customStyle="1" w:styleId="68">
    <w:name w:val="标准文件_封面标准编号"/>
    <w:basedOn w:val="1"/>
    <w:next w:val="59"/>
    <w:qFormat/>
    <w:uiPriority w:val="0"/>
    <w:pPr>
      <w:spacing w:line="310" w:lineRule="exact"/>
      <w:jc w:val="right"/>
    </w:pPr>
    <w:rPr>
      <w:rFonts w:ascii="黑体" w:eastAsia="黑体"/>
      <w:kern w:val="0"/>
      <w:sz w:val="28"/>
    </w:rPr>
  </w:style>
  <w:style w:type="paragraph" w:customStyle="1" w:styleId="69">
    <w:name w:val="标准文件_封面标准分类号"/>
    <w:basedOn w:val="1"/>
    <w:qFormat/>
    <w:uiPriority w:val="0"/>
    <w:rPr>
      <w:rFonts w:ascii="黑体" w:eastAsia="黑体"/>
      <w:b/>
      <w:kern w:val="0"/>
      <w:sz w:val="28"/>
    </w:rPr>
  </w:style>
  <w:style w:type="paragraph" w:customStyle="1" w:styleId="70">
    <w:name w:val="标准文件_封面标准名称"/>
    <w:basedOn w:val="1"/>
    <w:qFormat/>
    <w:uiPriority w:val="0"/>
    <w:pPr>
      <w:spacing w:line="240" w:lineRule="auto"/>
      <w:jc w:val="center"/>
    </w:pPr>
    <w:rPr>
      <w:rFonts w:ascii="黑体" w:eastAsia="黑体"/>
      <w:kern w:val="0"/>
      <w:sz w:val="52"/>
    </w:rPr>
  </w:style>
  <w:style w:type="paragraph" w:customStyle="1" w:styleId="71">
    <w:name w:val="标准文件_封面标准英文名称"/>
    <w:basedOn w:val="1"/>
    <w:qFormat/>
    <w:uiPriority w:val="0"/>
    <w:pPr>
      <w:spacing w:line="240" w:lineRule="auto"/>
      <w:jc w:val="center"/>
    </w:pPr>
    <w:rPr>
      <w:rFonts w:ascii="黑体" w:eastAsia="黑体"/>
      <w:b/>
      <w:sz w:val="28"/>
    </w:rPr>
  </w:style>
  <w:style w:type="paragraph" w:customStyle="1" w:styleId="72">
    <w:name w:val="标准文件_封面发布日期"/>
    <w:basedOn w:val="1"/>
    <w:qFormat/>
    <w:uiPriority w:val="0"/>
    <w:pPr>
      <w:spacing w:line="310" w:lineRule="exact"/>
    </w:pPr>
    <w:rPr>
      <w:rFonts w:ascii="黑体" w:eastAsia="黑体"/>
      <w:kern w:val="0"/>
      <w:sz w:val="28"/>
    </w:rPr>
  </w:style>
  <w:style w:type="paragraph" w:customStyle="1" w:styleId="73">
    <w:name w:val="标准文件_封面密级"/>
    <w:basedOn w:val="1"/>
    <w:qFormat/>
    <w:uiPriority w:val="0"/>
    <w:rPr>
      <w:rFonts w:eastAsia="黑体"/>
      <w:sz w:val="32"/>
    </w:rPr>
  </w:style>
  <w:style w:type="paragraph" w:customStyle="1" w:styleId="74">
    <w:name w:val="标准文件_封面实施日期"/>
    <w:basedOn w:val="1"/>
    <w:qFormat/>
    <w:uiPriority w:val="0"/>
    <w:pPr>
      <w:spacing w:line="310" w:lineRule="exact"/>
      <w:jc w:val="right"/>
    </w:pPr>
    <w:rPr>
      <w:rFonts w:ascii="黑体" w:eastAsia="黑体"/>
      <w:sz w:val="28"/>
    </w:rPr>
  </w:style>
  <w:style w:type="paragraph" w:customStyle="1" w:styleId="75">
    <w:name w:val="标准文件_封面抬头"/>
    <w:basedOn w:val="56"/>
    <w:qFormat/>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qFormat/>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4">
    <w:name w:val="标准文件_附录五级条标题"/>
    <w:next w:val="56"/>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字符"/>
    <w:link w:val="13"/>
    <w:qFormat/>
    <w:uiPriority w:val="0"/>
    <w:rPr>
      <w:kern w:val="2"/>
      <w:sz w:val="21"/>
      <w:szCs w:val="21"/>
    </w:rPr>
  </w:style>
  <w:style w:type="paragraph" w:customStyle="1" w:styleId="87">
    <w:name w:val="标准文件_附录章标题"/>
    <w:next w:val="56"/>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qFormat/>
    <w:uiPriority w:val="0"/>
    <w:pPr>
      <w:ind w:left="488" w:leftChars="200" w:hanging="289" w:hangingChars="290"/>
    </w:pPr>
  </w:style>
  <w:style w:type="paragraph" w:customStyle="1" w:styleId="89">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qFormat/>
    <w:uiPriority w:val="0"/>
    <w:pPr>
      <w:spacing w:line="460" w:lineRule="exact"/>
      <w:ind w:left="0" w:firstLine="0"/>
    </w:pPr>
  </w:style>
  <w:style w:type="paragraph" w:customStyle="1" w:styleId="91">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2">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qFormat/>
    <w:uiPriority w:val="0"/>
    <w:pPr>
      <w:numPr>
        <w:numId w:val="10"/>
      </w:numPr>
    </w:pPr>
  </w:style>
  <w:style w:type="paragraph" w:customStyle="1" w:styleId="94">
    <w:name w:val="标准文件_三级条标题"/>
    <w:basedOn w:val="65"/>
    <w:next w:val="56"/>
    <w:qFormat/>
    <w:uiPriority w:val="99"/>
    <w:pPr>
      <w:widowControl/>
      <w:numPr>
        <w:ilvl w:val="4"/>
      </w:numPr>
      <w:outlineLvl w:val="3"/>
    </w:pPr>
  </w:style>
  <w:style w:type="character" w:customStyle="1" w:styleId="95">
    <w:name w:val="不明显参考1"/>
    <w:qFormat/>
    <w:uiPriority w:val="31"/>
    <w:rPr>
      <w:smallCaps/>
      <w:color w:val="C0504D"/>
      <w:u w:val="single"/>
    </w:rPr>
  </w:style>
  <w:style w:type="paragraph" w:customStyle="1" w:styleId="96">
    <w:name w:val="标准文件_示例后续"/>
    <w:basedOn w:val="1"/>
    <w:qFormat/>
    <w:uiPriority w:val="0"/>
    <w:pPr>
      <w:adjustRightInd/>
      <w:spacing w:line="240" w:lineRule="auto"/>
      <w:ind w:firstLine="200" w:firstLineChars="200"/>
    </w:pPr>
    <w:rPr>
      <w:sz w:val="18"/>
      <w:szCs w:val="24"/>
    </w:rPr>
  </w:style>
  <w:style w:type="paragraph" w:customStyle="1" w:styleId="97">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qFormat/>
    <w:uiPriority w:val="99"/>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99">
    <w:name w:val="脚注文本 字符"/>
    <w:link w:val="21"/>
    <w:semiHidden/>
    <w:qFormat/>
    <w:uiPriority w:val="0"/>
    <w:rPr>
      <w:rFonts w:ascii="宋体"/>
      <w:kern w:val="2"/>
      <w:sz w:val="18"/>
      <w:szCs w:val="18"/>
    </w:rPr>
  </w:style>
  <w:style w:type="paragraph" w:customStyle="1" w:styleId="100">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qFormat/>
    <w:uiPriority w:val="0"/>
    <w:pPr>
      <w:numPr>
        <w:ilvl w:val="0"/>
        <w:numId w:val="12"/>
      </w:numPr>
      <w:spacing w:line="240" w:lineRule="auto"/>
      <w:jc w:val="left"/>
    </w:pPr>
    <w:rPr>
      <w:rFonts w:ascii="宋体" w:hAnsi="宋体"/>
      <w:sz w:val="18"/>
    </w:rPr>
  </w:style>
  <w:style w:type="character" w:customStyle="1" w:styleId="102">
    <w:name w:val="标准文件_图表脚注内容"/>
    <w:qFormat/>
    <w:uiPriority w:val="0"/>
    <w:rPr>
      <w:rFonts w:ascii="宋体" w:hAnsi="宋体" w:eastAsia="宋体" w:cs="Times New Roman"/>
      <w:spacing w:val="0"/>
      <w:sz w:val="18"/>
      <w:vertAlign w:val="superscript"/>
    </w:rPr>
  </w:style>
  <w:style w:type="paragraph" w:customStyle="1" w:styleId="103">
    <w:name w:val="标准文件_五级条标题"/>
    <w:next w:val="56"/>
    <w:qFormat/>
    <w:uiPriority w:val="99"/>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qFormat/>
    <w:uiPriority w:val="99"/>
    <w:pPr>
      <w:numPr>
        <w:ilvl w:val="2"/>
      </w:numPr>
      <w:spacing w:before="50" w:beforeLines="50" w:after="50" w:afterLines="50"/>
      <w:outlineLvl w:val="1"/>
    </w:pPr>
  </w:style>
  <w:style w:type="paragraph" w:customStyle="1" w:styleId="106">
    <w:name w:val="标准文件_一致程度"/>
    <w:basedOn w:val="1"/>
    <w:qFormat/>
    <w:uiPriority w:val="0"/>
    <w:pPr>
      <w:spacing w:line="440" w:lineRule="exact"/>
      <w:jc w:val="center"/>
    </w:pPr>
    <w:rPr>
      <w:sz w:val="28"/>
    </w:rPr>
  </w:style>
  <w:style w:type="paragraph" w:customStyle="1" w:styleId="107">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qFormat/>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qFormat/>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qFormat/>
    <w:uiPriority w:val="99"/>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qFormat/>
    <w:uiPriority w:val="0"/>
    <w:pPr>
      <w:numPr>
        <w:ilvl w:val="3"/>
        <w:numId w:val="20"/>
      </w:numPr>
      <w:adjustRightInd/>
      <w:spacing w:line="240" w:lineRule="auto"/>
    </w:pPr>
    <w:rPr>
      <w:rFonts w:ascii="宋体" w:hAnsi="宋体"/>
      <w:szCs w:val="24"/>
    </w:rPr>
  </w:style>
  <w:style w:type="paragraph" w:customStyle="1" w:styleId="119">
    <w:name w:val="发布部门"/>
    <w:next w:val="56"/>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qFormat/>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qFormat/>
    <w:uiPriority w:val="0"/>
    <w:pPr>
      <w:outlineLvl w:val="4"/>
    </w:pPr>
  </w:style>
  <w:style w:type="paragraph" w:customStyle="1" w:styleId="130">
    <w:name w:val="附录四级无标题条"/>
    <w:basedOn w:val="129"/>
    <w:next w:val="56"/>
    <w:qFormat/>
    <w:uiPriority w:val="0"/>
    <w:pPr>
      <w:outlineLvl w:val="5"/>
    </w:pPr>
  </w:style>
  <w:style w:type="paragraph" w:customStyle="1" w:styleId="131">
    <w:name w:val="附录图"/>
    <w:next w:val="56"/>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qFormat/>
    <w:uiPriority w:val="0"/>
    <w:pPr>
      <w:outlineLvl w:val="6"/>
    </w:pPr>
  </w:style>
  <w:style w:type="paragraph" w:customStyle="1" w:styleId="134">
    <w:name w:val="附录性质"/>
    <w:basedOn w:val="1"/>
    <w:qFormat/>
    <w:uiPriority w:val="0"/>
    <w:pPr>
      <w:widowControl/>
      <w:adjustRightInd/>
      <w:jc w:val="center"/>
    </w:pPr>
    <w:rPr>
      <w:rFonts w:ascii="黑体" w:eastAsia="黑体"/>
    </w:rPr>
  </w:style>
  <w:style w:type="paragraph" w:customStyle="1" w:styleId="135">
    <w:name w:val="附录一级无标题条"/>
    <w:basedOn w:val="87"/>
    <w:next w:val="56"/>
    <w:qFormat/>
    <w:uiPriority w:val="0"/>
    <w:pPr>
      <w:autoSpaceDN w:val="0"/>
      <w:outlineLvl w:val="2"/>
    </w:pPr>
    <w:rPr>
      <w:rFonts w:ascii="宋体" w:hAnsi="宋体" w:eastAsia="宋体"/>
    </w:rPr>
  </w:style>
  <w:style w:type="character" w:customStyle="1" w:styleId="136">
    <w:name w:val="个人答复风格"/>
    <w:qFormat/>
    <w:uiPriority w:val="0"/>
    <w:rPr>
      <w:rFonts w:ascii="Arial" w:hAnsi="Arial" w:eastAsia="宋体" w:cs="Arial"/>
      <w:color w:val="auto"/>
      <w:spacing w:val="0"/>
      <w:sz w:val="20"/>
    </w:rPr>
  </w:style>
  <w:style w:type="character" w:customStyle="1" w:styleId="137">
    <w:name w:val="个人撰写风格"/>
    <w:qFormat/>
    <w:uiPriority w:val="0"/>
    <w:rPr>
      <w:rFonts w:ascii="Arial" w:hAnsi="Arial" w:eastAsia="宋体" w:cs="Arial"/>
      <w:color w:val="auto"/>
      <w:spacing w:val="0"/>
      <w:sz w:val="20"/>
    </w:rPr>
  </w:style>
  <w:style w:type="paragraph" w:customStyle="1" w:styleId="138">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qFormat/>
    <w:uiPriority w:val="0"/>
    <w:pPr>
      <w:tabs>
        <w:tab w:val="left" w:pos="840"/>
      </w:tabs>
    </w:pPr>
  </w:style>
  <w:style w:type="paragraph" w:customStyle="1" w:styleId="141">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autoRedefine/>
    <w:semiHidden/>
    <w:qFormat/>
    <w:uiPriority w:val="0"/>
    <w:pPr>
      <w:adjustRightInd/>
      <w:spacing w:line="240" w:lineRule="auto"/>
      <w:jc w:val="left"/>
    </w:pPr>
    <w:rPr>
      <w:bCs/>
      <w:iCs/>
    </w:rPr>
  </w:style>
  <w:style w:type="paragraph" w:customStyle="1" w:styleId="143">
    <w:name w:val="目录 31"/>
    <w:basedOn w:val="1"/>
    <w:next w:val="1"/>
    <w:autoRedefine/>
    <w:semiHidden/>
    <w:qFormat/>
    <w:uiPriority w:val="0"/>
    <w:pPr>
      <w:spacing w:line="240" w:lineRule="auto"/>
    </w:pPr>
    <w:rPr>
      <w:rFonts w:ascii="宋体" w:hAnsi="宋体"/>
      <w:iCs/>
    </w:rPr>
  </w:style>
  <w:style w:type="paragraph" w:customStyle="1" w:styleId="144">
    <w:name w:val="目录 41"/>
    <w:basedOn w:val="1"/>
    <w:next w:val="1"/>
    <w:autoRedefine/>
    <w:semiHidden/>
    <w:qFormat/>
    <w:uiPriority w:val="0"/>
    <w:pPr>
      <w:adjustRightInd/>
      <w:spacing w:line="240" w:lineRule="auto"/>
      <w:jc w:val="left"/>
    </w:pPr>
  </w:style>
  <w:style w:type="paragraph" w:customStyle="1" w:styleId="145">
    <w:name w:val="目录 51"/>
    <w:basedOn w:val="1"/>
    <w:next w:val="1"/>
    <w:autoRedefine/>
    <w:semiHidden/>
    <w:qFormat/>
    <w:uiPriority w:val="0"/>
    <w:pPr>
      <w:spacing w:line="240" w:lineRule="auto"/>
    </w:pPr>
    <w:rPr>
      <w:rFonts w:ascii="宋体" w:hAnsi="宋体"/>
    </w:rPr>
  </w:style>
  <w:style w:type="paragraph" w:customStyle="1" w:styleId="146">
    <w:name w:val="目录 61"/>
    <w:basedOn w:val="1"/>
    <w:next w:val="1"/>
    <w:autoRedefine/>
    <w:semiHidden/>
    <w:qFormat/>
    <w:uiPriority w:val="0"/>
    <w:pPr>
      <w:adjustRightInd/>
      <w:spacing w:line="240" w:lineRule="auto"/>
      <w:jc w:val="left"/>
    </w:pPr>
  </w:style>
  <w:style w:type="paragraph" w:customStyle="1" w:styleId="147">
    <w:name w:val="目录 71"/>
    <w:basedOn w:val="146"/>
    <w:autoRedefine/>
    <w:semiHidden/>
    <w:qFormat/>
    <w:uiPriority w:val="0"/>
    <w:pPr>
      <w:ind w:left="1260"/>
    </w:pPr>
  </w:style>
  <w:style w:type="paragraph" w:customStyle="1" w:styleId="148">
    <w:name w:val="目录 81"/>
    <w:basedOn w:val="147"/>
    <w:autoRedefine/>
    <w:semiHidden/>
    <w:qFormat/>
    <w:uiPriority w:val="0"/>
    <w:pPr>
      <w:ind w:left="1470"/>
    </w:pPr>
  </w:style>
  <w:style w:type="paragraph" w:customStyle="1" w:styleId="149">
    <w:name w:val="目录 91"/>
    <w:basedOn w:val="148"/>
    <w:autoRedefine/>
    <w:semiHidden/>
    <w:qFormat/>
    <w:uiPriority w:val="0"/>
    <w:pPr>
      <w:ind w:left="1680"/>
    </w:pPr>
  </w:style>
  <w:style w:type="paragraph" w:customStyle="1" w:styleId="15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qFormat/>
    <w:uiPriority w:val="0"/>
    <w:pPr>
      <w:framePr w:wrap="around"/>
      <w:spacing w:line="0" w:lineRule="atLeast"/>
    </w:pPr>
    <w:rPr>
      <w:rFonts w:ascii="黑体" w:eastAsia="黑体"/>
      <w:b w:val="0"/>
    </w:rPr>
  </w:style>
  <w:style w:type="paragraph" w:customStyle="1" w:styleId="152">
    <w:name w:val="前言标题"/>
    <w:next w:val="1"/>
    <w:qFormat/>
    <w:uiPriority w:val="99"/>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4">
    <w:name w:val="实施日期"/>
    <w:basedOn w:val="120"/>
    <w:qFormat/>
    <w:uiPriority w:val="0"/>
    <w:pPr>
      <w:framePr w:hSpace="0" w:wrap="around" w:xAlign="right"/>
      <w:jc w:val="right"/>
    </w:pPr>
  </w:style>
  <w:style w:type="paragraph" w:customStyle="1" w:styleId="155">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6">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qFormat/>
    <w:uiPriority w:val="0"/>
    <w:pPr>
      <w:jc w:val="both"/>
    </w:pPr>
    <w:rPr>
      <w:rFonts w:ascii="宋体" w:hAnsi="宋体" w:eastAsia="宋体" w:cs="Times New Roman"/>
      <w:sz w:val="21"/>
      <w:lang w:val="en-US" w:eastAsia="zh-CN" w:bidi="ar-SA"/>
    </w:rPr>
  </w:style>
  <w:style w:type="paragraph" w:customStyle="1" w:styleId="158">
    <w:name w:val="五级无标题条"/>
    <w:basedOn w:val="1"/>
    <w:qFormat/>
    <w:uiPriority w:val="0"/>
    <w:pPr>
      <w:numPr>
        <w:ilvl w:val="6"/>
        <w:numId w:val="20"/>
      </w:numPr>
      <w:adjustRightInd/>
    </w:pPr>
    <w:rPr>
      <w:szCs w:val="24"/>
    </w:rPr>
  </w:style>
  <w:style w:type="paragraph" w:customStyle="1" w:styleId="159">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0">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qFormat/>
    <w:uiPriority w:val="0"/>
    <w:pPr>
      <w:ind w:left="1406" w:leftChars="0" w:hanging="499" w:firstLineChars="0"/>
    </w:pPr>
  </w:style>
  <w:style w:type="paragraph" w:customStyle="1" w:styleId="162">
    <w:name w:val="标准文件_一级无标题"/>
    <w:basedOn w:val="105"/>
    <w:qFormat/>
    <w:uiPriority w:val="0"/>
    <w:pPr>
      <w:spacing w:before="0" w:beforeLines="0" w:after="0" w:afterLines="0"/>
      <w:outlineLvl w:val="9"/>
    </w:pPr>
    <w:rPr>
      <w:rFonts w:ascii="宋体" w:eastAsia="宋体"/>
    </w:rPr>
  </w:style>
  <w:style w:type="paragraph" w:customStyle="1" w:styleId="163">
    <w:name w:val="标准文件_五级无标题"/>
    <w:basedOn w:val="103"/>
    <w:qFormat/>
    <w:uiPriority w:val="0"/>
    <w:pPr>
      <w:spacing w:before="0" w:beforeLines="0" w:after="0" w:afterLines="0"/>
      <w:outlineLvl w:val="9"/>
    </w:pPr>
    <w:rPr>
      <w:rFonts w:ascii="宋体" w:eastAsia="宋体"/>
    </w:rPr>
  </w:style>
  <w:style w:type="paragraph" w:customStyle="1" w:styleId="164">
    <w:name w:val="标准文件_三级无标题"/>
    <w:basedOn w:val="94"/>
    <w:qFormat/>
    <w:uiPriority w:val="0"/>
    <w:pPr>
      <w:spacing w:before="0" w:beforeLines="0" w:after="0" w:afterLines="0"/>
      <w:outlineLvl w:val="9"/>
    </w:pPr>
    <w:rPr>
      <w:rFonts w:ascii="宋体" w:eastAsia="宋体"/>
    </w:rPr>
  </w:style>
  <w:style w:type="paragraph" w:customStyle="1" w:styleId="165">
    <w:name w:val="标准文件_二级无标题"/>
    <w:basedOn w:val="65"/>
    <w:qFormat/>
    <w:uiPriority w:val="0"/>
    <w:pPr>
      <w:spacing w:before="0" w:beforeLines="0" w:after="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0" w:beforeLines="0" w:after="0" w:afterLines="0"/>
      <w:outlineLvl w:val="9"/>
    </w:pPr>
    <w:rPr>
      <w:rFonts w:ascii="宋体" w:hAnsi="黑体" w:eastAsia="宋体"/>
      <w:szCs w:val="52"/>
    </w:rPr>
  </w:style>
  <w:style w:type="paragraph" w:customStyle="1" w:styleId="168">
    <w:name w:val="标准文件_大写罗马数字编号列项"/>
    <w:basedOn w:val="56"/>
    <w:qFormat/>
    <w:uiPriority w:val="0"/>
    <w:pPr>
      <w:numPr>
        <w:ilvl w:val="0"/>
        <w:numId w:val="23"/>
      </w:numPr>
      <w:ind w:firstLine="0" w:firstLineChars="0"/>
    </w:pPr>
    <w:rPr>
      <w:rFonts w:ascii="Times New Roman" w:cs="Arial"/>
      <w:szCs w:val="28"/>
    </w:rPr>
  </w:style>
  <w:style w:type="paragraph" w:customStyle="1" w:styleId="169">
    <w:name w:val="标准文件_小写罗马数字编号列项"/>
    <w:basedOn w:val="56"/>
    <w:qFormat/>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uiPriority w:val="0"/>
    <w:rPr>
      <w:rFonts w:ascii="宋体" w:hAnsi="Times New Roman" w:eastAsia="宋体" w:cs="Times New Roman"/>
      <w:sz w:val="21"/>
      <w:lang w:val="en-US" w:eastAsia="zh-CN" w:bidi="ar-SA"/>
    </w:rPr>
  </w:style>
  <w:style w:type="paragraph" w:customStyle="1" w:styleId="172">
    <w:name w:val="标准文件_三级项"/>
    <w:basedOn w:val="1"/>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uiPriority w:val="0"/>
    <w:pPr>
      <w:numPr>
        <w:ilvl w:val="0"/>
        <w:numId w:val="25"/>
      </w:numPr>
      <w:adjustRightInd/>
      <w:spacing w:line="240" w:lineRule="auto"/>
    </w:pPr>
    <w:rPr>
      <w:rFonts w:ascii="宋体" w:hAnsi="Times New Roman"/>
      <w:sz w:val="18"/>
      <w:szCs w:val="18"/>
    </w:rPr>
  </w:style>
  <w:style w:type="paragraph" w:customStyle="1" w:styleId="174">
    <w:name w:val="标准文件_字母编号列项（一级）"/>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uiPriority w:val="0"/>
    <w:rPr>
      <w:rFonts w:ascii="宋体"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uiPriority w:val="99"/>
    <w:rPr>
      <w:color w:val="808080"/>
    </w:rPr>
  </w:style>
  <w:style w:type="paragraph" w:customStyle="1" w:styleId="187">
    <w:name w:val="标准文件_二级项2"/>
    <w:basedOn w:val="56"/>
    <w:qFormat/>
    <w:uiPriority w:val="0"/>
    <w:pPr>
      <w:numPr>
        <w:ilvl w:val="1"/>
        <w:numId w:val="21"/>
      </w:numPr>
      <w:ind w:firstLine="0" w:firstLineChars="0"/>
    </w:pPr>
  </w:style>
  <w:style w:type="paragraph" w:customStyle="1" w:styleId="188">
    <w:name w:val="标准文件_三级项2"/>
    <w:basedOn w:val="56"/>
    <w:qFormat/>
    <w:uiPriority w:val="0"/>
    <w:pPr>
      <w:numPr>
        <w:ilvl w:val="0"/>
        <w:numId w:val="30"/>
      </w:numPr>
      <w:spacing w:line="300" w:lineRule="exact"/>
      <w:ind w:firstLineChars="0"/>
    </w:pPr>
    <w:rPr>
      <w:rFonts w:ascii="Times New Roman"/>
    </w:rPr>
  </w:style>
  <w:style w:type="paragraph" w:customStyle="1" w:styleId="189">
    <w:name w:val="标准文件_一级项2"/>
    <w:basedOn w:val="56"/>
    <w:qFormat/>
    <w:uiPriority w:val="0"/>
    <w:pPr>
      <w:numPr>
        <w:ilvl w:val="0"/>
        <w:numId w:val="31"/>
      </w:numPr>
      <w:spacing w:line="300" w:lineRule="exact"/>
      <w:ind w:firstLineChars="0"/>
    </w:pPr>
    <w:rPr>
      <w:rFonts w:ascii="Times New Roman"/>
    </w:r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uiPriority w:val="0"/>
    <w:pPr>
      <w:framePr w:w="3997" w:h="471" w:hRule="exact" w:hSpace="0" w:vSpace="181" w:wrap="around" w:vAnchor="page" w:hAnchor="page" w:x="1419" w:y="14097"/>
    </w:pPr>
  </w:style>
  <w:style w:type="paragraph" w:customStyle="1" w:styleId="194">
    <w:name w:val="其他实施日期"/>
    <w:basedOn w:val="154"/>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frame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0" w:beforeLines="0" w:after="0" w:afterLines="0" w:line="276" w:lineRule="auto"/>
      <w:outlineLvl w:val="9"/>
    </w:pPr>
    <w:rPr>
      <w:rFonts w:ascii="宋体" w:eastAsia="宋体"/>
    </w:rPr>
  </w:style>
  <w:style w:type="paragraph" w:customStyle="1" w:styleId="212">
    <w:name w:val="标准文件_附录二级无标题"/>
    <w:basedOn w:val="79"/>
    <w:uiPriority w:val="0"/>
    <w:pPr>
      <w:spacing w:before="0" w:beforeLines="0" w:after="0" w:afterLines="0" w:line="276" w:lineRule="auto"/>
      <w:outlineLvl w:val="9"/>
    </w:pPr>
    <w:rPr>
      <w:rFonts w:ascii="宋体" w:eastAsia="宋体"/>
    </w:rPr>
  </w:style>
  <w:style w:type="paragraph" w:customStyle="1" w:styleId="213">
    <w:name w:val="标准文件_附录三级无标题"/>
    <w:basedOn w:val="81"/>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4"/>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qFormat/>
    <w:uiPriority w:val="0"/>
    <w:pPr>
      <w:spacing w:before="0" w:beforeLines="0" w:after="0" w:afterLines="0" w:line="276" w:lineRule="auto"/>
    </w:pPr>
    <w:rPr>
      <w:rFonts w:ascii="宋体" w:eastAsia="宋体"/>
    </w:rPr>
  </w:style>
  <w:style w:type="paragraph" w:customStyle="1" w:styleId="218">
    <w:name w:val="标准文件_引言三级无标题"/>
    <w:basedOn w:val="202"/>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qFormat/>
    <w:uiPriority w:val="0"/>
    <w:pPr>
      <w:spacing w:before="0" w:beforeLines="0" w:after="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qFormat/>
    <w:uiPriority w:val="0"/>
    <w:rPr>
      <w:rFonts w:ascii="黑体" w:eastAsia="黑体"/>
      <w:spacing w:val="85"/>
      <w:w w:val="100"/>
      <w:position w:val="3"/>
      <w:sz w:val="28"/>
      <w:szCs w:val="28"/>
    </w:rPr>
  </w:style>
  <w:style w:type="paragraph" w:styleId="230">
    <w:name w:val="List Paragraph"/>
    <w:basedOn w:val="1"/>
    <w:link w:val="242"/>
    <w:qFormat/>
    <w:uiPriority w:val="34"/>
    <w:pPr>
      <w:ind w:firstLine="420" w:firstLineChars="200"/>
    </w:pPr>
  </w:style>
  <w:style w:type="paragraph" w:customStyle="1" w:styleId="231">
    <w:name w:val="章标题"/>
    <w:basedOn w:val="232"/>
    <w:next w:val="233"/>
    <w:link w:val="236"/>
    <w:qFormat/>
    <w:uiPriority w:val="99"/>
    <w:pPr>
      <w:spacing w:before="312" w:beforeLines="100" w:after="312" w:afterLines="100"/>
    </w:pPr>
    <w:rPr>
      <w:rFonts w:ascii="Times New Roman"/>
    </w:rPr>
  </w:style>
  <w:style w:type="paragraph" w:customStyle="1" w:styleId="232">
    <w:name w:val="1章标题"/>
    <w:next w:val="56"/>
    <w:uiPriority w:val="99"/>
    <w:pPr>
      <w:spacing w:beforeLines="50" w:afterLines="50"/>
      <w:jc w:val="both"/>
      <w:outlineLvl w:val="0"/>
    </w:pPr>
    <w:rPr>
      <w:rFonts w:ascii="黑体" w:hAnsi="Times New Roman" w:eastAsia="黑体" w:cs="黑体"/>
      <w:sz w:val="21"/>
      <w:szCs w:val="21"/>
      <w:lang w:val="en-US" w:eastAsia="zh-CN" w:bidi="ar-SA"/>
    </w:rPr>
  </w:style>
  <w:style w:type="paragraph" w:customStyle="1" w:styleId="233">
    <w:name w:val="段"/>
    <w:basedOn w:val="1"/>
    <w:link w:val="234"/>
    <w:qFormat/>
    <w:uiPriority w:val="0"/>
    <w:pPr>
      <w:spacing w:line="240" w:lineRule="auto"/>
      <w:ind w:firstLine="420" w:firstLineChars="200"/>
    </w:pPr>
    <w:rPr>
      <w:rFonts w:ascii="Times New Roman" w:hAnsi="Times New Roman" w:cs="Calibri"/>
    </w:rPr>
  </w:style>
  <w:style w:type="character" w:customStyle="1" w:styleId="234">
    <w:name w:val="段 字符"/>
    <w:basedOn w:val="28"/>
    <w:link w:val="233"/>
    <w:uiPriority w:val="0"/>
    <w:rPr>
      <w:rFonts w:ascii="Times New Roman" w:hAnsi="Times New Roman" w:cs="Calibri"/>
      <w:kern w:val="2"/>
      <w:sz w:val="21"/>
      <w:szCs w:val="21"/>
    </w:rPr>
  </w:style>
  <w:style w:type="paragraph" w:customStyle="1" w:styleId="235">
    <w:name w:val="一级条标题"/>
    <w:basedOn w:val="105"/>
    <w:next w:val="233"/>
    <w:link w:val="237"/>
    <w:qFormat/>
    <w:uiPriority w:val="99"/>
    <w:pPr>
      <w:numPr>
        <w:numId w:val="1"/>
      </w:numPr>
      <w:tabs>
        <w:tab w:val="left" w:pos="1646"/>
        <w:tab w:val="left" w:pos="2258"/>
      </w:tabs>
      <w:spacing w:before="156" w:after="156"/>
    </w:pPr>
    <w:rPr>
      <w:rFonts w:ascii="Times New Roman" w:cs="黑体"/>
      <w:szCs w:val="21"/>
    </w:rPr>
  </w:style>
  <w:style w:type="character" w:customStyle="1" w:styleId="236">
    <w:name w:val="章标题 字符"/>
    <w:basedOn w:val="28"/>
    <w:link w:val="231"/>
    <w:qFormat/>
    <w:uiPriority w:val="99"/>
    <w:rPr>
      <w:rFonts w:ascii="Times New Roman" w:hAnsi="Times New Roman" w:eastAsia="黑体" w:cs="黑体"/>
      <w:sz w:val="21"/>
      <w:szCs w:val="21"/>
    </w:rPr>
  </w:style>
  <w:style w:type="character" w:customStyle="1" w:styleId="237">
    <w:name w:val="一级条标题 字符"/>
    <w:basedOn w:val="28"/>
    <w:link w:val="235"/>
    <w:qFormat/>
    <w:uiPriority w:val="99"/>
    <w:rPr>
      <w:rFonts w:ascii="Times New Roman" w:hAnsi="Times New Roman" w:eastAsia="黑体" w:cs="黑体"/>
      <w:sz w:val="21"/>
      <w:szCs w:val="21"/>
    </w:rPr>
  </w:style>
  <w:style w:type="paragraph" w:customStyle="1" w:styleId="238">
    <w:name w:val="二级条标题"/>
    <w:basedOn w:val="65"/>
    <w:next w:val="233"/>
    <w:link w:val="239"/>
    <w:qFormat/>
    <w:uiPriority w:val="99"/>
    <w:pPr>
      <w:numPr>
        <w:numId w:val="1"/>
      </w:numPr>
      <w:tabs>
        <w:tab w:val="left" w:pos="2678"/>
      </w:tabs>
    </w:pPr>
    <w:rPr>
      <w:rFonts w:ascii="Times New Roman" w:cs="黑体"/>
      <w:szCs w:val="21"/>
    </w:rPr>
  </w:style>
  <w:style w:type="character" w:customStyle="1" w:styleId="239">
    <w:name w:val="二级条标题 字符"/>
    <w:basedOn w:val="28"/>
    <w:link w:val="238"/>
    <w:uiPriority w:val="99"/>
    <w:rPr>
      <w:rFonts w:ascii="Times New Roman" w:hAnsi="Times New Roman" w:eastAsia="黑体" w:cs="黑体"/>
      <w:sz w:val="21"/>
      <w:szCs w:val="21"/>
    </w:rPr>
  </w:style>
  <w:style w:type="paragraph" w:customStyle="1" w:styleId="240">
    <w:name w:val="正文图题"/>
    <w:basedOn w:val="23"/>
    <w:next w:val="233"/>
    <w:link w:val="241"/>
    <w:autoRedefine/>
    <w:qFormat/>
    <w:uiPriority w:val="0"/>
    <w:pPr>
      <w:numPr>
        <w:ilvl w:val="0"/>
        <w:numId w:val="32"/>
      </w:numPr>
      <w:adjustRightInd w:val="0"/>
      <w:spacing w:before="50" w:beforeLines="50" w:after="50" w:afterLines="50"/>
      <w:ind w:left="0" w:firstLine="0"/>
      <w:jc w:val="center"/>
    </w:pPr>
    <w:rPr>
      <w:rFonts w:ascii="Times New Roman" w:hAnsi="Times New Roman" w:eastAsia="黑体" w:cs="Calibri"/>
      <w:szCs w:val="21"/>
    </w:rPr>
  </w:style>
  <w:style w:type="character" w:customStyle="1" w:styleId="241">
    <w:name w:val="正文图题 字符"/>
    <w:basedOn w:val="28"/>
    <w:link w:val="240"/>
    <w:qFormat/>
    <w:uiPriority w:val="0"/>
    <w:rPr>
      <w:rFonts w:ascii="Times New Roman" w:hAnsi="Times New Roman" w:eastAsia="黑体" w:cs="Calibri"/>
      <w:kern w:val="2"/>
      <w:sz w:val="21"/>
      <w:szCs w:val="21"/>
    </w:rPr>
  </w:style>
  <w:style w:type="character" w:customStyle="1" w:styleId="242">
    <w:name w:val="列出段落 字符"/>
    <w:basedOn w:val="28"/>
    <w:link w:val="230"/>
    <w:qFormat/>
    <w:uiPriority w:val="34"/>
    <w:rPr>
      <w:kern w:val="2"/>
      <w:sz w:val="21"/>
      <w:szCs w:val="21"/>
    </w:rPr>
  </w:style>
  <w:style w:type="paragraph" w:customStyle="1" w:styleId="243">
    <w:name w:val="正文表标题"/>
    <w:basedOn w:val="240"/>
    <w:next w:val="233"/>
    <w:link w:val="244"/>
    <w:qFormat/>
    <w:uiPriority w:val="0"/>
    <w:pPr>
      <w:numPr>
        <w:numId w:val="33"/>
      </w:numPr>
      <w:ind w:left="0" w:firstLine="0"/>
    </w:pPr>
  </w:style>
  <w:style w:type="character" w:customStyle="1" w:styleId="244">
    <w:name w:val="正文表标题 字符"/>
    <w:basedOn w:val="241"/>
    <w:link w:val="243"/>
    <w:qFormat/>
    <w:uiPriority w:val="0"/>
    <w:rPr>
      <w:rFonts w:ascii="Times New Roman" w:hAnsi="Times New Roman" w:eastAsia="黑体" w:cs="Calibri"/>
      <w:kern w:val="2"/>
      <w:sz w:val="21"/>
      <w:szCs w:val="21"/>
    </w:rPr>
  </w:style>
  <w:style w:type="character" w:customStyle="1" w:styleId="245">
    <w:name w:val="段 Char"/>
    <w:qFormat/>
    <w:uiPriority w:val="0"/>
    <w:rPr>
      <w:rFonts w:ascii="宋体" w:cs="宋体"/>
      <w:sz w:val="21"/>
      <w:szCs w:val="21"/>
    </w:rPr>
  </w:style>
  <w:style w:type="paragraph" w:customStyle="1" w:styleId="246">
    <w:name w:val="附录标识"/>
    <w:basedOn w:val="1"/>
    <w:uiPriority w:val="99"/>
    <w:pPr>
      <w:widowControl/>
      <w:shd w:val="clear" w:color="FFFFFF" w:fill="FFFFFF"/>
      <w:tabs>
        <w:tab w:val="left" w:pos="6405"/>
      </w:tabs>
      <w:adjustRightInd/>
      <w:spacing w:before="640" w:after="200" w:line="240" w:lineRule="auto"/>
      <w:jc w:val="center"/>
      <w:outlineLvl w:val="0"/>
    </w:pPr>
    <w:rPr>
      <w:rFonts w:ascii="黑体" w:hAnsi="Times New Roman" w:eastAsia="黑体" w:cs="黑体"/>
      <w:kern w:val="0"/>
    </w:rPr>
  </w:style>
  <w:style w:type="paragraph" w:customStyle="1" w:styleId="247">
    <w:name w:val="附录章标题"/>
    <w:next w:val="233"/>
    <w:uiPriority w:val="99"/>
    <w:pPr>
      <w:wordWrap w:val="0"/>
      <w:overflowPunct w:val="0"/>
      <w:autoSpaceDE w:val="0"/>
      <w:spacing w:beforeLines="50" w:afterLines="50"/>
      <w:jc w:val="both"/>
      <w:textAlignment w:val="baseline"/>
      <w:outlineLvl w:val="1"/>
    </w:pPr>
    <w:rPr>
      <w:rFonts w:ascii="黑体" w:hAnsi="Times New Roman" w:eastAsia="黑体" w:cs="黑体"/>
      <w:kern w:val="21"/>
      <w:sz w:val="21"/>
      <w:szCs w:val="21"/>
      <w:lang w:val="en-US" w:eastAsia="zh-CN" w:bidi="ar-SA"/>
    </w:rPr>
  </w:style>
  <w:style w:type="paragraph" w:customStyle="1" w:styleId="248">
    <w:name w:val="附录一级条标题"/>
    <w:basedOn w:val="247"/>
    <w:next w:val="233"/>
    <w:qFormat/>
    <w:uiPriority w:val="99"/>
    <w:pPr>
      <w:autoSpaceDN w:val="0"/>
      <w:spacing w:beforeLines="0" w:afterLines="0"/>
      <w:outlineLvl w:val="2"/>
    </w:pPr>
  </w:style>
  <w:style w:type="paragraph" w:customStyle="1" w:styleId="249">
    <w:name w:val="附录二级条标题"/>
    <w:basedOn w:val="248"/>
    <w:next w:val="233"/>
    <w:qFormat/>
    <w:uiPriority w:val="99"/>
    <w:pPr>
      <w:outlineLvl w:val="3"/>
    </w:pPr>
  </w:style>
  <w:style w:type="paragraph" w:customStyle="1" w:styleId="250">
    <w:name w:val="附录三级条标题"/>
    <w:basedOn w:val="249"/>
    <w:next w:val="233"/>
    <w:qFormat/>
    <w:uiPriority w:val="99"/>
    <w:pPr>
      <w:outlineLvl w:val="4"/>
    </w:pPr>
  </w:style>
  <w:style w:type="paragraph" w:customStyle="1" w:styleId="251">
    <w:name w:val="附录四级条标题"/>
    <w:basedOn w:val="250"/>
    <w:next w:val="233"/>
    <w:uiPriority w:val="99"/>
    <w:pPr>
      <w:outlineLvl w:val="5"/>
    </w:pPr>
  </w:style>
  <w:style w:type="paragraph" w:customStyle="1" w:styleId="252">
    <w:name w:val="附录五级条标题"/>
    <w:basedOn w:val="251"/>
    <w:next w:val="233"/>
    <w:uiPriority w:val="99"/>
    <w:pPr>
      <w:outlineLvl w:val="6"/>
    </w:pPr>
  </w:style>
  <w:style w:type="character" w:customStyle="1" w:styleId="253">
    <w:name w:val="text-only"/>
    <w:basedOn w:val="28"/>
    <w:uiPriority w:val="0"/>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7" Type="http://schemas.openxmlformats.org/officeDocument/2006/relationships/glossaryDocument" Target="glossary/document.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A691F1A40CD54AB7ADEF65725C014450"/>
        <w:style w:val=""/>
        <w:category>
          <w:name w:val="常规"/>
          <w:gallery w:val="placeholder"/>
        </w:category>
        <w:types>
          <w:type w:val="bbPlcHdr"/>
        </w:types>
        <w:behaviors>
          <w:behavior w:val="content"/>
        </w:behaviors>
        <w:description w:val=""/>
        <w:guid w:val="{011B459B-6287-42EB-A332-C51023DA3B55}"/>
      </w:docPartPr>
      <w:docPartBody>
        <w:p w14:paraId="5467B2A2">
          <w:pPr>
            <w:pStyle w:val="5"/>
          </w:pPr>
          <w:r>
            <w:rPr>
              <w:rStyle w:val="4"/>
              <w:rFonts w:hint="eastAsia"/>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14EE"/>
    <w:rsid w:val="000614C7"/>
    <w:rsid w:val="001819EC"/>
    <w:rsid w:val="002445C3"/>
    <w:rsid w:val="00296CE8"/>
    <w:rsid w:val="003938F8"/>
    <w:rsid w:val="003F13E7"/>
    <w:rsid w:val="004013A2"/>
    <w:rsid w:val="00452BD6"/>
    <w:rsid w:val="005B29E5"/>
    <w:rsid w:val="00824ABC"/>
    <w:rsid w:val="008A1D2B"/>
    <w:rsid w:val="008E3176"/>
    <w:rsid w:val="009C057E"/>
    <w:rsid w:val="00AD04F7"/>
    <w:rsid w:val="00B56E04"/>
    <w:rsid w:val="00B8210A"/>
    <w:rsid w:val="00C314EE"/>
    <w:rsid w:val="00D171D4"/>
    <w:rsid w:val="00F632E5"/>
    <w:rsid w:val="00F67A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A691F1A40CD54AB7ADEF65725C014450"/>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E0123FC-EB13-4047-8618-9F80545B2350}">
  <ds:schemaRefs/>
</ds:datastoreItem>
</file>

<file path=docProps/app.xml><?xml version="1.0" encoding="utf-8"?>
<Properties xmlns="http://schemas.openxmlformats.org/officeDocument/2006/extended-properties" xmlns:vt="http://schemas.openxmlformats.org/officeDocument/2006/docPropsVTypes">
  <Template>团体标准.dotx</Template>
  <Company>PCMI</Company>
  <Pages>11</Pages>
  <Words>3168</Words>
  <Characters>3786</Characters>
  <Lines>37</Lines>
  <Paragraphs>10</Paragraphs>
  <TotalTime>25</TotalTime>
  <ScaleCrop>false</ScaleCrop>
  <LinksUpToDate>false</LinksUpToDate>
  <CharactersWithSpaces>4035</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2026-01-07T02:16:00Z</dcterms:created>
  <dc:creator>勾海鹏</dc:creator>
  <dc:description>&lt;config cover="true" show_menu="true" version="1.0.0" doctype="SDKXY"&gt;_x000d_
&lt;/config&gt;</dc:description>
  <cp:lastModifiedBy>Andy litie</cp:lastModifiedBy>
  <cp:lastPrinted>2021-02-02T08:22:00Z</cp:lastPrinted>
  <dcterms:modified xsi:type="dcterms:W3CDTF">2026-06-23T03:17:53Z</dcterms:modified>
  <dc:title>团体标准</dc:title>
  <cp:revision>240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eyJoZGlkIjoiZWQ4MDcyYjQ0NTcxMDJjYTVjM2I5OTAwN2M3YmQzNGQiLCJ1c2VySWQiOiIxMDE5NjIwMzc1In0=</vt:lpwstr>
  </property>
  <property fmtid="{D5CDD505-2E9C-101B-9397-08002B2CF9AE}" pid="15" name="KSOProductBuildVer">
    <vt:lpwstr>2052-12.1.0.26895</vt:lpwstr>
  </property>
  <property fmtid="{D5CDD505-2E9C-101B-9397-08002B2CF9AE}" pid="16" name="ICV">
    <vt:lpwstr>485D699D81104C2F95F9FAE09FFCE251_12</vt:lpwstr>
  </property>
</Properties>
</file>